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方正小标宋_GBK" w:cs="Times New Roman"/>
          <w:color w:val="auto"/>
          <w:sz w:val="48"/>
          <w:szCs w:val="48"/>
          <w:lang w:val="en-US" w:eastAsia="zh-CN"/>
        </w:rPr>
      </w:pPr>
      <w:r>
        <w:rPr>
          <w:rFonts w:hint="eastAsia" w:ascii="Times New Roman" w:hAnsi="Times New Roman" w:eastAsia="方正小标宋_GBK" w:cs="Times New Roman"/>
          <w:color w:val="auto"/>
          <w:sz w:val="48"/>
          <w:szCs w:val="48"/>
          <w:lang w:val="en-US" w:eastAsia="zh-CN"/>
        </w:rPr>
        <w:t xml:space="preserve">                                  </w:t>
      </w:r>
      <w:r>
        <w:rPr>
          <w:rFonts w:hint="eastAsia" w:ascii="黑体" w:hAnsi="黑体" w:eastAsia="黑体" w:cs="黑体"/>
          <w:color w:val="auto"/>
          <w:sz w:val="48"/>
          <w:szCs w:val="48"/>
          <w:lang w:val="en-US" w:eastAsia="zh-CN"/>
        </w:rPr>
        <w:t>A</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r>
        <w:rPr>
          <w:rFonts w:hint="default" w:ascii="Times New Roman" w:hAnsi="Times New Roman" w:eastAsia="仿宋_GB2312" w:cs="Times New Roman"/>
          <w:b/>
          <w:sz w:val="32"/>
          <w:szCs w:val="32"/>
        </w:rPr>
        <w:drawing>
          <wp:anchor distT="0" distB="0" distL="114300" distR="114300" simplePos="0" relativeHeight="251659264" behindDoc="1" locked="0" layoutInCell="1" allowOverlap="1">
            <wp:simplePos x="0" y="0"/>
            <wp:positionH relativeFrom="column">
              <wp:posOffset>-1021080</wp:posOffset>
            </wp:positionH>
            <wp:positionV relativeFrom="paragraph">
              <wp:posOffset>26035</wp:posOffset>
            </wp:positionV>
            <wp:extent cx="7524750" cy="2085975"/>
            <wp:effectExtent l="0" t="0" r="0" b="9525"/>
            <wp:wrapNone/>
            <wp:docPr id="2" name="Picture 2" descr="(红头)科技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红头)科技局"/>
                    <pic:cNvPicPr>
                      <a:picLocks noChangeAspect="1"/>
                    </pic:cNvPicPr>
                  </pic:nvPicPr>
                  <pic:blipFill>
                    <a:blip r:embed="rId5"/>
                    <a:stretch>
                      <a:fillRect/>
                    </a:stretch>
                  </pic:blipFill>
                  <pic:spPr>
                    <a:xfrm>
                      <a:off x="0" y="0"/>
                      <a:ext cx="7524750" cy="2085975"/>
                    </a:xfrm>
                    <a:prstGeom prst="rect">
                      <a:avLst/>
                    </a:prstGeom>
                    <a:noFill/>
                    <a:ln>
                      <a:noFill/>
                    </a:ln>
                  </pic:spPr>
                </pic:pic>
              </a:graphicData>
            </a:graphic>
          </wp:anchor>
        </w:drawing>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ascii="Times New Roman" w:hAnsi="Times New Roman" w:eastAsia="仿宋_GB2312" w:cs="Times New Roman"/>
          <w:sz w:val="32"/>
          <w:szCs w:val="32"/>
        </w:rPr>
        <w:t>温</w:t>
      </w:r>
      <w:r>
        <w:rPr>
          <w:rFonts w:hint="eastAsia" w:ascii="Times New Roman" w:hAnsi="Times New Roman" w:eastAsia="仿宋_GB2312" w:cs="Times New Roman"/>
          <w:sz w:val="32"/>
          <w:szCs w:val="32"/>
          <w:lang w:eastAsia="zh-CN"/>
        </w:rPr>
        <w:t>科提复</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cs="Times New Roman"/>
          <w:sz w:val="32"/>
          <w:szCs w:val="32"/>
          <w:lang w:val="en-US" w:eastAsia="zh-CN"/>
        </w:rPr>
        <w:t>115</w:t>
      </w:r>
      <w:r>
        <w:rPr>
          <w:rFonts w:ascii="Times New Roman" w:hAnsi="Times New Roman" w:eastAsia="仿宋_GB2312" w:cs="Times New Roman"/>
          <w:sz w:val="32"/>
          <w:szCs w:val="32"/>
        </w:rPr>
        <w:t>号</w:t>
      </w:r>
    </w:p>
    <w:p>
      <w:pPr>
        <w:spacing w:line="560" w:lineRule="exact"/>
        <w:jc w:val="center"/>
        <w:rPr>
          <w:rFonts w:hint="default" w:ascii="Times New Roman" w:hAnsi="Times New Roman" w:eastAsia="方正小标宋简体" w:cs="Times New Roman"/>
          <w:sz w:val="44"/>
          <w:szCs w:val="44"/>
        </w:rPr>
      </w:pPr>
    </w:p>
    <w:p>
      <w:pPr>
        <w:spacing w:line="560" w:lineRule="exact"/>
        <w:jc w:val="both"/>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关于市十四届人大四次会议</w:t>
      </w:r>
      <w:r>
        <w:rPr>
          <w:rFonts w:hint="eastAsia" w:ascii="Times New Roman" w:hAnsi="Times New Roman" w:eastAsia="方正小标宋简体" w:cs="Times New Roman"/>
          <w:sz w:val="44"/>
          <w:szCs w:val="44"/>
          <w:lang w:val="en-US" w:eastAsia="zh-CN"/>
        </w:rPr>
        <w:t>313</w:t>
      </w:r>
      <w:r>
        <w:rPr>
          <w:rFonts w:hint="default" w:ascii="Times New Roman" w:hAnsi="Times New Roman" w:eastAsia="方正小标宋简体" w:cs="Times New Roman"/>
          <w:sz w:val="44"/>
          <w:szCs w:val="44"/>
        </w:rPr>
        <w:t>号建议的</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答</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复</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函</w:t>
      </w:r>
    </w:p>
    <w:p>
      <w:pPr>
        <w:spacing w:line="560" w:lineRule="exact"/>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张勇代表：</w:t>
      </w:r>
    </w:p>
    <w:p>
      <w:pPr>
        <w:keepNext w:val="0"/>
        <w:keepLines w:val="0"/>
        <w:pageBreakBefore w:val="0"/>
        <w:kinsoku/>
        <w:wordWrap/>
        <w:overflowPunct/>
        <w:topLinePunct w:val="0"/>
        <w:autoSpaceDE/>
        <w:autoSpaceDN/>
        <w:bidi w:val="0"/>
        <w:spacing w:line="560" w:lineRule="exact"/>
        <w:ind w:firstLine="64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您在市十四届人大四次会议期间所提的《关于加快推进医疗器械产业发展的建议》（人大建议313号）收悉。该建议较为准确地指出了温州医药器械产业存在的问题，并提出加快推进我市医药器械企业发展的必要性和宝贵建议。针对提出的建议，我局高度重视，在汇总市经信局，市卫健委，市市场监管局，温州医科大学会办意见的基础上，认真调查研究，现答复如下：</w:t>
      </w:r>
    </w:p>
    <w:p>
      <w:pPr>
        <w:keepNext w:val="0"/>
        <w:keepLines w:val="0"/>
        <w:pageBreakBefore w:val="0"/>
        <w:kinsoku/>
        <w:wordWrap/>
        <w:overflowPunct/>
        <w:topLinePunct w:val="0"/>
        <w:autoSpaceDE/>
        <w:autoSpaceDN/>
        <w:bidi w:val="0"/>
        <w:spacing w:line="560" w:lineRule="exact"/>
        <w:ind w:firstLine="640" w:firstLineChars="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一、加快园区提档升级，促进产业提质增效</w:t>
      </w:r>
    </w:p>
    <w:p>
      <w:pPr>
        <w:keepNext w:val="0"/>
        <w:keepLines w:val="0"/>
        <w:pageBreakBefore w:val="0"/>
        <w:widowControl w:val="0"/>
        <w:kinsoku/>
        <w:wordWrap/>
        <w:overflowPunct/>
        <w:topLinePunct w:val="0"/>
        <w:autoSpaceDE/>
        <w:autoSpaceDN/>
        <w:bidi w:val="0"/>
        <w:spacing w:after="0" w:line="560" w:lineRule="exact"/>
        <w:ind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32"/>
          <w:lang w:val="en-US" w:eastAsia="zh-CN" w:bidi="ar-SA"/>
        </w:rPr>
        <w:t>近年来，我市加快高端医疗器械产业园区建设，做强医疗器械产业集群，集聚效应日益凸显。</w:t>
      </w:r>
      <w:r>
        <w:rPr>
          <w:rFonts w:hint="default" w:ascii="Times New Roman" w:hAnsi="Times New Roman" w:eastAsia="仿宋_GB2312" w:cs="Times New Roman"/>
          <w:b/>
          <w:bCs/>
          <w:kern w:val="2"/>
          <w:sz w:val="32"/>
          <w:szCs w:val="32"/>
          <w:lang w:val="en-US" w:eastAsia="zh-CN" w:bidi="ar-SA"/>
        </w:rPr>
        <w:t>一是</w:t>
      </w:r>
      <w:r>
        <w:rPr>
          <w:rFonts w:hint="default" w:ascii="Times New Roman" w:hAnsi="Times New Roman" w:eastAsia="仿宋_GB2312" w:cs="Times New Roman"/>
          <w:kern w:val="2"/>
          <w:sz w:val="32"/>
          <w:szCs w:val="32"/>
          <w:lang w:val="en-US" w:eastAsia="zh-CN" w:bidi="ar-SA"/>
        </w:rPr>
        <w:t>细分领域具有显著优势。我市生命健康产业布局“双核引领+三带发展”，中国眼谷以打造全球眼健康“硅谷”为目标，发展眼视光装备、视觉光学、眼用材料、眼科药物、智慧医疗、商务总部六大方向，目前已获批国家级平台6个，在眼视光领域已形成较大优势；</w:t>
      </w:r>
      <w:r>
        <w:rPr>
          <w:rFonts w:hint="default" w:ascii="Times New Roman" w:hAnsi="Times New Roman" w:eastAsia="仿宋_GB2312" w:cs="Times New Roman"/>
          <w:kern w:val="2"/>
          <w:sz w:val="32"/>
          <w:szCs w:val="32"/>
          <w:shd w:val="clear" w:color="auto" w:fill="FFFFFF"/>
          <w:lang w:val="en-US" w:eastAsia="zh-CN" w:bidi="ar-SA"/>
        </w:rPr>
        <w:t>中国基因药谷以建设全国单体规模最大生物药谷为目标，发展大分子药物、医疗器械、数字医疗三大</w:t>
      </w:r>
      <w:r>
        <w:rPr>
          <w:rFonts w:hint="default" w:ascii="Times New Roman" w:hAnsi="Times New Roman" w:eastAsia="仿宋_GB2312" w:cs="Times New Roman"/>
          <w:kern w:val="2"/>
          <w:sz w:val="32"/>
          <w:szCs w:val="32"/>
          <w:lang w:val="en-US" w:eastAsia="zh-CN" w:bidi="ar-SA"/>
        </w:rPr>
        <w:t>方向</w:t>
      </w:r>
      <w:r>
        <w:rPr>
          <w:rFonts w:hint="default" w:ascii="Times New Roman" w:hAnsi="Times New Roman" w:eastAsia="仿宋_GB2312" w:cs="Times New Roman"/>
          <w:kern w:val="2"/>
          <w:sz w:val="32"/>
          <w:szCs w:val="32"/>
          <w:shd w:val="clear" w:color="auto" w:fill="FFFFFF"/>
          <w:lang w:val="en-US" w:eastAsia="zh-CN" w:bidi="ar-SA"/>
        </w:rPr>
        <w:t>，</w:t>
      </w:r>
      <w:r>
        <w:rPr>
          <w:rFonts w:hint="default" w:ascii="Times New Roman" w:hAnsi="Times New Roman" w:eastAsia="仿宋_GB2312" w:cs="Times New Roman"/>
          <w:kern w:val="2"/>
          <w:sz w:val="32"/>
          <w:szCs w:val="32"/>
          <w:lang w:val="en-US" w:eastAsia="zh-CN" w:bidi="ar-SA"/>
        </w:rPr>
        <w:t>目前已获批国家级平台3个，在细胞生长因子领域已形成较大优势。</w:t>
      </w:r>
      <w:r>
        <w:rPr>
          <w:rFonts w:hint="default" w:ascii="Times New Roman" w:hAnsi="Times New Roman" w:eastAsia="仿宋_GB2312" w:cs="Times New Roman"/>
          <w:b/>
          <w:bCs/>
          <w:kern w:val="2"/>
          <w:sz w:val="32"/>
          <w:szCs w:val="32"/>
          <w:lang w:val="en-US" w:eastAsia="zh-CN" w:bidi="ar-SA"/>
        </w:rPr>
        <w:t>二是</w:t>
      </w:r>
      <w:r>
        <w:rPr>
          <w:rFonts w:hint="default" w:ascii="Times New Roman" w:hAnsi="Times New Roman" w:eastAsia="仿宋_GB2312" w:cs="Times New Roman"/>
          <w:kern w:val="2"/>
          <w:sz w:val="32"/>
          <w:szCs w:val="32"/>
          <w:lang w:val="en-US" w:eastAsia="zh-CN" w:bidi="ar-SA"/>
        </w:rPr>
        <w:t>产业空间优势逐步显现。龙湾眼谷小镇规划总面积扩容至11平方公里，引进注册眼科药物、高端眼科医疗器械等企业203家，其中107家具备规模化生产或者冲击IPO的潜力；瓯海生命健康小镇规划总面积扩容至5平方公里，入驻生物医药和医疗器械企业276家，储备报件医疗器械许可证项目突破86个，落地全市首个CDMO生产基地并获超4亿元生产订单。</w:t>
      </w:r>
      <w:r>
        <w:rPr>
          <w:rFonts w:hint="default" w:ascii="Times New Roman" w:hAnsi="Times New Roman" w:eastAsia="仿宋_GB2312" w:cs="Times New Roman"/>
          <w:b/>
          <w:bCs/>
          <w:kern w:val="2"/>
          <w:sz w:val="32"/>
          <w:szCs w:val="32"/>
          <w:lang w:val="en-US" w:eastAsia="zh-CN" w:bidi="ar-SA"/>
        </w:rPr>
        <w:t>三是</w:t>
      </w:r>
      <w:r>
        <w:rPr>
          <w:rFonts w:hint="default" w:ascii="Times New Roman" w:hAnsi="Times New Roman" w:eastAsia="仿宋_GB2312" w:cs="Times New Roman"/>
          <w:kern w:val="2"/>
          <w:sz w:val="32"/>
          <w:szCs w:val="32"/>
          <w:lang w:val="en-US" w:eastAsia="zh-CN" w:bidi="ar-SA"/>
        </w:rPr>
        <w:t>园区政务服务提质。向上争取建立基因药谷、中国眼谷2大省医药创新和审评柔性服务站，提供产品注册前辅导、体系考核前预检查和对接省药监局优先检测审批通道等多项有感服务项目，2023年共帮扶17家企业获批二、三类医疗器械注册产品30个，同比增长67%，数量创历史新高，并在植入类、临床检验设备类和药械组合类等高端产品领域实现新突破。</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二、促进产学研医融合，赋能产业高质量发展</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产学研医融合是医疗器械产业高质量发展的必然要求。一直以来，我市都高度重视“产学研医”创新服务共同体的建设。</w:t>
      </w:r>
      <w:r>
        <w:rPr>
          <w:rFonts w:hint="default" w:ascii="Times New Roman" w:hAnsi="Times New Roman" w:eastAsia="仿宋_GB2312" w:cs="Times New Roman"/>
          <w:b/>
          <w:bCs/>
          <w:sz w:val="32"/>
          <w:szCs w:val="32"/>
        </w:rPr>
        <w:t>一方面</w:t>
      </w:r>
      <w:r>
        <w:rPr>
          <w:rFonts w:hint="default" w:ascii="Times New Roman" w:hAnsi="Times New Roman" w:eastAsia="仿宋_GB2312" w:cs="Times New Roman"/>
          <w:sz w:val="32"/>
          <w:szCs w:val="32"/>
        </w:rPr>
        <w:t>，聚焦产品本地采用率低、创新能力弱等发展堵点，我市推进医工创新合作平台建设，围绕“医学+工业”“医院+工厂”“医生+工程师”3个医工创新融合维度，建立企业直接购买科研专利、企业承接临床开发需求、企业与医院联合研发三大医工合作模式，为双方合作研发牵线搭桥，助推更多医疗器械创新成果转化应用。目前已达成穿刺针、眼科手术刀、白内障筛查仪、牙科种植体等10个创新合作项目。</w:t>
      </w:r>
      <w:r>
        <w:rPr>
          <w:rFonts w:hint="default" w:ascii="Times New Roman" w:hAnsi="Times New Roman" w:eastAsia="仿宋_GB2312" w:cs="Times New Roman"/>
          <w:b/>
          <w:bCs/>
          <w:sz w:val="32"/>
          <w:szCs w:val="32"/>
        </w:rPr>
        <w:t>另一方面</w:t>
      </w:r>
      <w:r>
        <w:rPr>
          <w:rFonts w:hint="default" w:ascii="Times New Roman" w:hAnsi="Times New Roman" w:eastAsia="仿宋_GB2312" w:cs="Times New Roman"/>
          <w:sz w:val="32"/>
          <w:szCs w:val="32"/>
        </w:rPr>
        <w:t>，推动我市医疗器械传统优势产业企业与国科大学温州研究院、浙江省药科职业大学、温州医科大学等高校建立校企合作机制，市食药检院、中国眼谷、温州医科大学附属眼视光医院三方签订了“共建温州市药品和医疗器械研制创新服务共同体战略合作协议”；市科技局联合市市监局推出“温州医疗器械创新发展伙伴计划”，将更多临床需求、科研项目推送至初创企业和有能力承接转化企业，将有受托生产能力的企业集中推介给有需求的科研院所、注册人企业等，探索搭建“产学研用”长效合作机制，相关工作受到王振勇副市长的批示肯定。</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三、完善成果评价机制，推动科技成果转化落地</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健全完善科技成果评价体系,更好发挥科技成果评价作用,加快推动科技成果转化为现实生产力。</w:t>
      </w:r>
      <w:r>
        <w:rPr>
          <w:rFonts w:hint="default" w:ascii="Times New Roman" w:hAnsi="Times New Roman" w:eastAsia="仿宋_GB2312" w:cs="Times New Roman"/>
          <w:b/>
          <w:bCs/>
          <w:sz w:val="32"/>
          <w:szCs w:val="32"/>
        </w:rPr>
        <w:t>一方面</w:t>
      </w:r>
      <w:r>
        <w:rPr>
          <w:rFonts w:hint="default" w:ascii="Times New Roman" w:hAnsi="Times New Roman" w:eastAsia="仿宋_GB2312" w:cs="Times New Roman"/>
          <w:sz w:val="32"/>
          <w:szCs w:val="32"/>
        </w:rPr>
        <w:t>，成立校（院）地科技成果转化联合办公室，着力构建一套科技成果供给、需求、服务体系，全力推进在温高校、科研院所等单位的科技成果“就地交易、就地转化、就地应用”。</w:t>
      </w:r>
      <w:r>
        <w:rPr>
          <w:rFonts w:hint="default" w:ascii="Times New Roman" w:hAnsi="Times New Roman" w:eastAsia="仿宋_GB2312" w:cs="Times New Roman"/>
          <w:b/>
          <w:bCs/>
          <w:sz w:val="32"/>
          <w:szCs w:val="32"/>
        </w:rPr>
        <w:t>另一方面</w:t>
      </w:r>
      <w:r>
        <w:rPr>
          <w:rFonts w:hint="default" w:ascii="Times New Roman" w:hAnsi="Times New Roman" w:eastAsia="仿宋_GB2312" w:cs="Times New Roman"/>
          <w:sz w:val="32"/>
          <w:szCs w:val="32"/>
        </w:rPr>
        <w:t>，为加快推进概念验证中心、中试基地、应用场景等成果熟化服务链条建设，市科技局制定出台《温州市概念验证中心与中试基地建设指引（试行）》，积极推动对有条件、有能力的新型研发机构、技术创新中心、实验室围绕我市重点产业建设概念验证中心，创新开展概念验证实训营活动，提升科技成果的技术创新性和商业可行性。</w:t>
      </w:r>
    </w:p>
    <w:p>
      <w:pPr>
        <w:keepNext w:val="0"/>
        <w:keepLines w:val="0"/>
        <w:pageBreakBefore w:val="0"/>
        <w:kinsoku/>
        <w:wordWrap/>
        <w:overflowPunct/>
        <w:topLinePunct w:val="0"/>
        <w:autoSpaceDE/>
        <w:autoSpaceDN/>
        <w:bidi w:val="0"/>
        <w:spacing w:line="560" w:lineRule="exact"/>
        <w:ind w:firstLine="640" w:firstLineChars="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四、加大政策支持力度，优化产业发展生态</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一是</w:t>
      </w:r>
      <w:r>
        <w:rPr>
          <w:rFonts w:hint="default" w:ascii="Times New Roman" w:hAnsi="Times New Roman" w:eastAsia="仿宋_GB2312" w:cs="Times New Roman"/>
          <w:kern w:val="0"/>
          <w:sz w:val="32"/>
          <w:szCs w:val="32"/>
        </w:rPr>
        <w:t>关于“出台优质医疗器械产业项目及国内外知名医疗器械企业制造基地落户温州的用地优惠优先供给政策、小微企业租金补贴政策、企业贷款利率优惠政策、企业扩充产能固投补贴政策、企业对外并购委托生产等政策支持”的建议，温州市科技局牵头制定了《温州市促进生物医药产业创新发展若干政策措施》、《温州市促进眼健康产业聚集发展若干政策》等政策，在药品研发创新、医疗器械研发创新、仿制药发展等12个方面予以支持，进一步推动药品和医疗器械研发、产业服务平台建设、国内国际市场开拓、成果转化落地等全产业链各环节发展。我市对企业首次取得医疗器械注册证，拥有国家发明专利或被国家、浙江省认定为创新产品，并在我市产业化的二类三类医疗器械，单个品种分别奖励最高150万元、230万元；组织温州医疗器械、制药器械、食品等协会召开政策宣讲会，为500余家医院、平台、企业提供政策宣传服务，政策兑现1564万元。</w:t>
      </w:r>
      <w:r>
        <w:rPr>
          <w:rFonts w:hint="default" w:ascii="Times New Roman" w:hAnsi="Times New Roman" w:eastAsia="仿宋_GB2312" w:cs="Times New Roman"/>
          <w:b/>
          <w:bCs/>
          <w:kern w:val="0"/>
          <w:sz w:val="32"/>
          <w:szCs w:val="32"/>
        </w:rPr>
        <w:t>二是</w:t>
      </w:r>
      <w:r>
        <w:rPr>
          <w:rFonts w:hint="default" w:ascii="Times New Roman" w:hAnsi="Times New Roman" w:eastAsia="仿宋_GB2312" w:cs="Times New Roman"/>
          <w:kern w:val="0"/>
          <w:sz w:val="32"/>
          <w:szCs w:val="32"/>
        </w:rPr>
        <w:t>关于“本土医疗机构优先采购使用政策”的建议。在政府采购政策框架下，支持各级医疗卫生机构按照“优质优选、就近供应、降低成本”原则优先采购温州制造生物器械，助力温州生物器械做大做强；</w:t>
      </w:r>
      <w:r>
        <w:rPr>
          <w:rFonts w:hint="default" w:ascii="Times New Roman" w:hAnsi="Times New Roman" w:eastAsia="仿宋_GB2312" w:cs="Times New Roman"/>
          <w:bCs/>
          <w:sz w:val="32"/>
          <w:szCs w:val="32"/>
          <w:lang w:bidi="ar"/>
        </w:rPr>
        <w:t>梳理形成“本地医疗器械进入本市医院目录清单”“本地药企药品进入本市医院目录清单”“本市医院对相关药品、院内制剂需求清单”三张清单，以市生命健康产业链链办交办单形式发送给各大医疗机构，畅通内循环供需渠道。</w:t>
      </w:r>
      <w:r>
        <w:rPr>
          <w:rFonts w:hint="default" w:ascii="Times New Roman" w:hAnsi="Times New Roman" w:eastAsia="仿宋_GB2312" w:cs="Times New Roman"/>
          <w:kern w:val="0"/>
          <w:sz w:val="32"/>
          <w:szCs w:val="32"/>
        </w:rPr>
        <w:t>通过医企对接会、医疗器械宣传周、成果转化交流会等形式举办精准对接会10余场，为40多家医疗卫生机构、300余家医药器械企业及医疗机构建立沟通渠道，实现本地医企需求供给精准对接。</w:t>
      </w:r>
    </w:p>
    <w:p>
      <w:pPr>
        <w:keepNext w:val="0"/>
        <w:keepLines w:val="0"/>
        <w:pageBreakBefore w:val="0"/>
        <w:kinsoku/>
        <w:wordWrap/>
        <w:overflowPunct/>
        <w:topLinePunct w:val="0"/>
        <w:autoSpaceDE/>
        <w:autoSpaceDN/>
        <w:bidi w:val="0"/>
        <w:spacing w:line="560" w:lineRule="exact"/>
        <w:ind w:firstLine="640" w:firstLineChars="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五、聚力项目招大引强，提升产业发展能级</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我市高度重视医疗器械企业（项目）引育，</w:t>
      </w:r>
      <w:bookmarkStart w:id="0" w:name="_Hlk116637571"/>
      <w:r>
        <w:rPr>
          <w:rFonts w:hint="default" w:ascii="Times New Roman" w:hAnsi="Times New Roman" w:eastAsia="仿宋_GB2312" w:cs="Times New Roman"/>
          <w:color w:val="000000"/>
          <w:kern w:val="0"/>
          <w:sz w:val="32"/>
          <w:szCs w:val="32"/>
          <w:lang w:bidi="ar"/>
        </w:rPr>
        <w:t>创新招引模式，开展精准招引、加快推动我市生命健康产业发展壮大。</w:t>
      </w:r>
      <w:bookmarkEnd w:id="0"/>
      <w:r>
        <w:rPr>
          <w:rFonts w:hint="default" w:ascii="Times New Roman" w:hAnsi="Times New Roman" w:eastAsia="仿宋_GB2312" w:cs="Times New Roman"/>
          <w:b/>
          <w:bCs/>
          <w:color w:val="000000"/>
          <w:kern w:val="0"/>
          <w:sz w:val="32"/>
          <w:szCs w:val="32"/>
          <w:lang w:bidi="ar"/>
        </w:rPr>
        <w:t>一是</w:t>
      </w:r>
      <w:r>
        <w:rPr>
          <w:rFonts w:hint="default" w:ascii="Times New Roman" w:hAnsi="Times New Roman" w:eastAsia="仿宋_GB2312" w:cs="Times New Roman"/>
          <w:sz w:val="32"/>
          <w:szCs w:val="32"/>
        </w:rPr>
        <w:t>依托温州医疗服务辐射浙南闽北赣东近3000万人口的丰富医疗资源，持续梳理国内外药械头部企业名单，开展多层次招商活动，对接维眸生物、凯莱英、京东方艺云、博士伦等近40家全球500强企业，开展知名企业温州行生命健康专场活动，促成至初、雀巢等6家龙头企业在温签订合作意向，落地莫廷医疗、目立康等医疗器械头部企业。</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对接国内外相关领域大院名校，开展知名院校温州行等活动，引进南洋理工大学、香港理工大学、北京理工大学、清华长三院、季华实验室、中国科学院长光所等优势高端科创资源落地温州，促成创新创业团队和项目资源在温落地转化35项。</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市级重大项目每年设立生物医药成果转化项目10项左右，以科技成果产业化为导向，资助生物医药领域科技成果开展小试、中试等，打通项目落地、成果产业化最后一公里。</w:t>
      </w:r>
    </w:p>
    <w:p>
      <w:pPr>
        <w:keepNext w:val="0"/>
        <w:keepLines w:val="0"/>
        <w:pageBreakBefore w:val="0"/>
        <w:kinsoku/>
        <w:wordWrap/>
        <w:overflowPunct/>
        <w:topLinePunct w:val="0"/>
        <w:autoSpaceDE/>
        <w:autoSpaceDN/>
        <w:bidi w:val="0"/>
        <w:spacing w:line="560" w:lineRule="exact"/>
        <w:ind w:firstLine="640" w:firstLineChars="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六、拓宽汇智聚才新路径，构建人才集聚新高地</w:t>
      </w:r>
    </w:p>
    <w:p>
      <w:pPr>
        <w:keepNext w:val="0"/>
        <w:keepLines w:val="0"/>
        <w:pageBreakBefore w:val="0"/>
        <w:kinsoku/>
        <w:wordWrap/>
        <w:overflowPunct/>
        <w:topLinePunct w:val="0"/>
        <w:autoSpaceDE/>
        <w:autoSpaceDN/>
        <w:bidi w:val="0"/>
        <w:spacing w:line="560" w:lineRule="exact"/>
        <w:ind w:firstLine="640" w:firstLineChars="0"/>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kern w:val="0"/>
          <w:sz w:val="32"/>
          <w:szCs w:val="32"/>
        </w:rPr>
        <w:t>人才是生命健康产业高质量发展的重要支撑，一直以来，我市不断创新人才发展思路，持续做好人才“引育留用”文章。</w:t>
      </w:r>
      <w:r>
        <w:rPr>
          <w:rFonts w:hint="default" w:ascii="Times New Roman" w:hAnsi="Times New Roman" w:eastAsia="仿宋_GB2312" w:cs="Times New Roman"/>
          <w:b/>
          <w:bCs/>
          <w:kern w:val="0"/>
          <w:sz w:val="32"/>
          <w:szCs w:val="32"/>
        </w:rPr>
        <w:t>一方面</w:t>
      </w:r>
      <w:r>
        <w:rPr>
          <w:rFonts w:hint="default" w:ascii="Times New Roman" w:hAnsi="Times New Roman" w:eastAsia="仿宋_GB2312" w:cs="Times New Roman"/>
          <w:sz w:val="32"/>
          <w:szCs w:val="32"/>
        </w:rPr>
        <w:t>，出台《关于人才引领驱动生命健康产业创新发展的若干举措》，持续加大生物医药领域人才招引和支持力度。截</w:t>
      </w:r>
      <w:r>
        <w:rPr>
          <w:rFonts w:hint="eastAsia" w:ascii="Times New Roman" w:hAnsi="Times New Roman" w:eastAsia="仿宋_GB2312" w:cs="Times New Roman"/>
          <w:sz w:val="32"/>
          <w:szCs w:val="32"/>
          <w:lang w:eastAsia="zh-CN"/>
        </w:rPr>
        <w:t>至</w:t>
      </w:r>
      <w:bookmarkStart w:id="1" w:name="_GoBack"/>
      <w:bookmarkEnd w:id="1"/>
      <w:r>
        <w:rPr>
          <w:rFonts w:hint="default" w:ascii="Times New Roman" w:hAnsi="Times New Roman" w:eastAsia="仿宋_GB2312" w:cs="Times New Roman"/>
          <w:sz w:val="32"/>
          <w:szCs w:val="32"/>
        </w:rPr>
        <w:t>目前，我市生命健康产业已集聚了李校</w:t>
      </w:r>
      <w:r>
        <w:rPr>
          <w:rFonts w:hint="default" w:ascii="Times New Roman" w:hAnsi="Times New Roman" w:eastAsia="微软雅黑" w:cs="Times New Roman"/>
          <w:sz w:val="32"/>
          <w:szCs w:val="32"/>
        </w:rPr>
        <w:t>堃</w:t>
      </w:r>
      <w:r>
        <w:rPr>
          <w:rFonts w:hint="default" w:ascii="Times New Roman" w:hAnsi="Times New Roman" w:eastAsia="仿宋_GB2312" w:cs="Times New Roman"/>
          <w:sz w:val="32"/>
          <w:szCs w:val="32"/>
        </w:rPr>
        <w:t>、宋伟宏等院士团队，在组织再生和生长因子创新药物、视觉科学和眼健康、脑健康和认知功能康复、再生医学材料和高端医疗器械（装备）、生态环保等领域研发实力强劲。</w:t>
      </w:r>
      <w:r>
        <w:rPr>
          <w:rFonts w:hint="default" w:ascii="Times New Roman" w:hAnsi="Times New Roman" w:eastAsia="仿宋_GB2312" w:cs="Times New Roman"/>
          <w:b/>
          <w:bCs/>
          <w:sz w:val="32"/>
          <w:szCs w:val="32"/>
        </w:rPr>
        <w:t>另一方面</w:t>
      </w:r>
      <w:r>
        <w:rPr>
          <w:rFonts w:hint="default" w:ascii="Times New Roman" w:hAnsi="Times New Roman" w:eastAsia="仿宋_GB2312" w:cs="Times New Roman"/>
          <w:sz w:val="32"/>
          <w:szCs w:val="32"/>
        </w:rPr>
        <w:t>，通过推进学科专业结构调整优化，赋能生命健康产业转型升级。支持温州医科大学深化临床医学（新医科班）、眼视光医学（新医科班）、药学（生物药学创新实验班）、基础医学（周健创新班）等“医学+X”拔尖创新人才培养，加速医科与工科、理科、文科等学科深度融合；推动温州医科大学和上海交通大学医学院签署《上海交通大学医学院与温州医科大学教育合作框架协议》，重点加强双方在新医科人才培养方面深层次合作，加大复合型医工融合精英人才培养力度，为我市生命健康产业发展提供专业型人才。</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0"/>
          <w:sz w:val="32"/>
          <w:szCs w:val="32"/>
        </w:rPr>
        <w:t>下一步，我市将采取系列措施，进一步加大对本土生物医药、器械企业支持。具体如下：</w:t>
      </w:r>
      <w:r>
        <w:rPr>
          <w:rFonts w:hint="default" w:ascii="Times New Roman" w:hAnsi="Times New Roman" w:eastAsia="仿宋_GB2312" w:cs="Times New Roman"/>
          <w:b/>
          <w:bCs/>
          <w:kern w:val="0"/>
          <w:sz w:val="32"/>
          <w:szCs w:val="32"/>
        </w:rPr>
        <w:t>一是</w:t>
      </w:r>
      <w:r>
        <w:rPr>
          <w:rFonts w:hint="default" w:ascii="Times New Roman" w:hAnsi="Times New Roman" w:eastAsia="仿宋_GB2312" w:cs="Times New Roman"/>
          <w:kern w:val="0"/>
          <w:sz w:val="32"/>
          <w:szCs w:val="32"/>
        </w:rPr>
        <w:t>推动工作机制和制度创新。我市将进一步修改完善生命健康产业议事规则，采取系列措施为企业纾难解困，继续开展生物医药、医疗器械产业政策兑现工作，助力企业发展；推出中国眼谷、中国基因药谷特别支持政策，重点在人才、项目等方面给予倾斜性支持，支持我市生物医药产业发展；市科技局负责对接温医大附属医院，市卫健委负责对接市属医院，谋划创新药、医疗器械进医保、进医院，同时调研制定商业医疗保险的地方性法规可行性。</w:t>
      </w:r>
      <w:r>
        <w:rPr>
          <w:rFonts w:hint="default" w:ascii="Times New Roman" w:hAnsi="Times New Roman" w:eastAsia="仿宋_GB2312" w:cs="Times New Roman"/>
          <w:b/>
          <w:bCs/>
          <w:kern w:val="0"/>
          <w:sz w:val="32"/>
          <w:szCs w:val="32"/>
        </w:rPr>
        <w:t>二是</w:t>
      </w:r>
      <w:r>
        <w:rPr>
          <w:rFonts w:hint="default" w:ascii="Times New Roman" w:hAnsi="Times New Roman" w:eastAsia="仿宋_GB2312" w:cs="Times New Roman"/>
          <w:kern w:val="0"/>
          <w:sz w:val="32"/>
          <w:szCs w:val="32"/>
        </w:rPr>
        <w:t>依托资源招大引强。依托温州丰富的医疗资源和临床优势，围绕高能级平台及药物临床试验管理（GCP）项目成果推介、重点企业产品展示、成果拍卖等主题，开展多层次招商活动，重点招引生命健康产业制造业，构建以眼谷、药谷为核心，以温州湾新区、海经区等县（市、区）为多点的“双核引领、多点协同”的生命健康产业空间布局。紧盯眼谷、基因药谷建设进度，抓好产业园编制规划，力争眼谷科创园A区尽快开园投用；药谷布局打造生物医药孵化基地、医疗器械生产基地、生物医药孵化基地、生物医药生产基地二期四大板块，形成医药产业集聚体系，提升全产业链空间承载力。</w:t>
      </w:r>
      <w:r>
        <w:rPr>
          <w:rFonts w:hint="default" w:ascii="Times New Roman" w:hAnsi="Times New Roman" w:eastAsia="仿宋_GB2312" w:cs="Times New Roman"/>
          <w:b/>
          <w:bCs/>
          <w:kern w:val="0"/>
          <w:sz w:val="32"/>
          <w:szCs w:val="32"/>
        </w:rPr>
        <w:t>三是</w:t>
      </w:r>
      <w:r>
        <w:rPr>
          <w:rFonts w:hint="default" w:ascii="Times New Roman" w:hAnsi="Times New Roman" w:eastAsia="仿宋_GB2312" w:cs="Times New Roman"/>
          <w:sz w:val="32"/>
          <w:szCs w:val="32"/>
        </w:rPr>
        <w:t>探索创新产品本地推广渠道。持续优化“本地药企药品进入本市医院目录清单”“本地医疗器械进入本市医院目录清单”“本市医院对相关药品、院内制剂需求清单”三张清单，配合出台目录产品推广应用医疗机构奖励政策；编印《医企对接服务手册》，推动实验室、生物样本库、病历资源、诊疗数据等合作共享，畅通信息共享渠道。</w:t>
      </w:r>
      <w:r>
        <w:rPr>
          <w:rFonts w:hint="default" w:ascii="Times New Roman" w:hAnsi="Times New Roman" w:eastAsia="仿宋_GB2312" w:cs="Times New Roman"/>
          <w:b/>
          <w:bCs/>
          <w:kern w:val="0"/>
          <w:sz w:val="32"/>
          <w:szCs w:val="32"/>
        </w:rPr>
        <w:t>四是</w:t>
      </w:r>
      <w:r>
        <w:rPr>
          <w:rFonts w:hint="default" w:ascii="Times New Roman" w:hAnsi="Times New Roman" w:eastAsia="仿宋_GB2312" w:cs="Times New Roman"/>
          <w:kern w:val="0"/>
          <w:sz w:val="32"/>
          <w:szCs w:val="32"/>
        </w:rPr>
        <w:t>举办院企对接系列活动。举办瓯江科创慧系列主题沙龙，为科研机构与企业、企业与医疗机构、企业与资本合作提供新思路，为我市医疗器械产业发展探索新方向。将探索入院、入企参观座谈、线上互动等多种形式的院企对接方式，加强信息交流和科研合作，打造良好的院企合作环境，支持从“点对点”合作向集群化发展，助力医疗器械产业创新研发和成果转化，共同促进温州医药健康产业发展。</w:t>
      </w:r>
      <w:r>
        <w:rPr>
          <w:rFonts w:hint="default" w:ascii="Times New Roman" w:hAnsi="Times New Roman" w:eastAsia="仿宋_GB2312" w:cs="Times New Roman"/>
          <w:b/>
          <w:bCs/>
          <w:kern w:val="0"/>
          <w:sz w:val="32"/>
          <w:szCs w:val="32"/>
        </w:rPr>
        <w:t>五是</w:t>
      </w:r>
      <w:r>
        <w:rPr>
          <w:rFonts w:hint="default" w:ascii="Times New Roman" w:hAnsi="Times New Roman" w:eastAsia="仿宋_GB2312" w:cs="Times New Roman"/>
          <w:kern w:val="0"/>
          <w:sz w:val="32"/>
          <w:szCs w:val="32"/>
        </w:rPr>
        <w:t>探索医工交叉平台建设。</w:t>
      </w:r>
      <w:r>
        <w:rPr>
          <w:rFonts w:hint="default" w:ascii="Times New Roman" w:hAnsi="Times New Roman" w:eastAsia="仿宋_GB2312" w:cs="Times New Roman"/>
          <w:sz w:val="32"/>
          <w:szCs w:val="32"/>
        </w:rPr>
        <w:t>推进中国科学院医学理工交叉研究所筹建工作，推进医工交叉领域产学研用融合，探索生物材料、信息技术、智能制造与临床医疗跨界合作，推动形成医药、医械科研转化与产业集聚，全面提升我市药械创新水平。</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最后，再次感谢张勇代表一直以来对全市科技创新及生命健康领域工作的关心和支持！</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联系人：陈忠研，联系电话：</w:t>
      </w:r>
      <w:r>
        <w:rPr>
          <w:rFonts w:hint="eastAsia" w:ascii="Times New Roman" w:hAnsi="Times New Roman" w:eastAsia="仿宋_GB2312" w:cs="Times New Roman"/>
          <w:sz w:val="32"/>
          <w:szCs w:val="32"/>
        </w:rPr>
        <w:t>88962028</w:t>
      </w:r>
      <w:r>
        <w:rPr>
          <w:rFonts w:hint="eastAsia" w:ascii="Times New Roman" w:hAnsi="Times New Roman" w:eastAsia="仿宋_GB2312" w:cs="Times New Roman"/>
          <w:sz w:val="32"/>
          <w:szCs w:val="32"/>
          <w:lang w:val="en-US" w:eastAsia="zh-CN"/>
        </w:rPr>
        <w:t>。</w:t>
      </w:r>
    </w:p>
    <w:p>
      <w:pPr>
        <w:pStyle w:val="11"/>
        <w:keepNext w:val="0"/>
        <w:keepLines w:val="0"/>
        <w:pageBreakBefore w:val="0"/>
        <w:widowControl w:val="0"/>
        <w:kinsoku/>
        <w:wordWrap/>
        <w:overflowPunct/>
        <w:topLinePunct w:val="0"/>
        <w:autoSpaceDE/>
        <w:autoSpaceDN/>
        <w:bidi w:val="0"/>
        <w:spacing w:after="0"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温州市科学技术局 </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2024年6月</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w:t>
      </w:r>
    </w:p>
    <w:p>
      <w:pPr>
        <w:pStyle w:val="11"/>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adjustRightInd w:val="0"/>
        <w:snapToGrid w:val="0"/>
        <w:spacing w:line="570" w:lineRule="exact"/>
        <w:ind w:firstLine="320" w:firstLineChars="100"/>
        <w:jc w:val="left"/>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41275</wp:posOffset>
                </wp:positionV>
                <wp:extent cx="5561965" cy="635"/>
                <wp:effectExtent l="0" t="0" r="0" b="0"/>
                <wp:wrapSquare wrapText="bothSides"/>
                <wp:docPr id="4" name="直接连接符 4"/>
                <wp:cNvGraphicFramePr/>
                <a:graphic xmlns:a="http://schemas.openxmlformats.org/drawingml/2006/main">
                  <a:graphicData uri="http://schemas.microsoft.com/office/word/2010/wordprocessingShape">
                    <wps:wsp>
                      <wps:cNvCnPr/>
                      <wps:spPr>
                        <a:xfrm>
                          <a:off x="0" y="0"/>
                          <a:ext cx="5381625" cy="0"/>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3.25pt;height:0.05pt;width:437.95pt;mso-wrap-distance-bottom:0pt;mso-wrap-distance-left:9pt;mso-wrap-distance-right:9pt;mso-wrap-distance-top:0pt;z-index:251662336;mso-width-relative:page;mso-height-relative:page;" filled="f" stroked="t" coordsize="21600,21600" o:gfxdata="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Kg5tLTAAAABgEAAA8AAAAAAAAAAQAgAAAAIgAAAGRycy9kb3ducmV2LnhtbFBL&#10;AQIUABQAAAAIAIdO4kChW4G6+wEAAPMDAAAOAAAAAAAAAAEAIAAAACIBAABkcnMvZTJvRG9jLnht&#10;bFBLBQYAAAAABgAGAFkBAACPBQ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sz w:val="28"/>
          <w:szCs w:val="28"/>
        </w:rPr>
        <w:t>抄送：市人大常委</w:t>
      </w:r>
      <w:r>
        <w:rPr>
          <w:rFonts w:hint="default" w:ascii="Times New Roman" w:hAnsi="Times New Roman" w:eastAsia="仿宋_GB2312" w:cs="Times New Roman"/>
          <w:sz w:val="28"/>
          <w:szCs w:val="28"/>
          <w:lang w:val="en-US" w:eastAsia="zh-CN"/>
        </w:rPr>
        <w:t>会代表工委</w:t>
      </w:r>
      <w:r>
        <w:rPr>
          <w:rFonts w:hint="eastAsia" w:ascii="Times New Roman" w:hAnsi="Times New Roman" w:eastAsia="仿宋_GB2312" w:cs="Times New Roman"/>
          <w:sz w:val="28"/>
          <w:szCs w:val="28"/>
          <w:lang w:val="en-US" w:eastAsia="zh-CN"/>
        </w:rPr>
        <w:t>，市府办，龙湾区人大常委会</w:t>
      </w:r>
    </w:p>
    <w:p>
      <w:pPr>
        <w:widowControl/>
        <w:adjustRightInd w:val="0"/>
        <w:snapToGrid w:val="0"/>
        <w:spacing w:line="570" w:lineRule="exact"/>
        <w:ind w:left="0" w:leftChars="0" w:firstLine="320" w:firstLineChars="0"/>
        <w:rPr>
          <w:rFonts w:hint="default"/>
          <w:lang w:val="en-US" w:eastAsia="zh-CN"/>
        </w:rPr>
      </w:pPr>
      <w:r>
        <w:rPr>
          <w:rFonts w:hint="default" w:ascii="Times New Roman" w:hAnsi="Times New Roman" w:eastAsia="仿宋_GB2312" w:cs="Times New Roman"/>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511175</wp:posOffset>
                </wp:positionV>
                <wp:extent cx="5571490"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0" y="0"/>
                          <a:ext cx="5381625" cy="0"/>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40.25pt;height:0.05pt;width:438.7pt;mso-wrap-distance-bottom:0pt;mso-wrap-distance-left:9pt;mso-wrap-distance-right:9pt;mso-wrap-distance-top:0pt;z-index:251661312;mso-width-relative:page;mso-height-relative:page;" filled="f" stroked="t" coordsize="21600,21600" o:gfxdata="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JCX6tUAAAAIAQAADwAAAAAAAAABACAAAAAiAAAAZHJzL2Rvd25yZXYueG1s&#10;UEsBAhQAFAAAAAgAh07iQAOfgbH7AQAA8wMAAA4AAAAAAAAAAQAgAAAAJAEAAGRycy9lMm9Eb2Mu&#10;eG1sUEsFBgAAAAAGAAYAWQEAAJEFA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78740</wp:posOffset>
                </wp:positionV>
                <wp:extent cx="5581650" cy="635"/>
                <wp:effectExtent l="0" t="0" r="0" b="0"/>
                <wp:wrapSquare wrapText="bothSides"/>
                <wp:docPr id="5" name="直接连接符 5"/>
                <wp:cNvGraphicFramePr/>
                <a:graphic xmlns:a="http://schemas.openxmlformats.org/drawingml/2006/main">
                  <a:graphicData uri="http://schemas.microsoft.com/office/word/2010/wordprocessingShape">
                    <wps:wsp>
                      <wps:cNvCnPr/>
                      <wps:spPr>
                        <a:xfrm>
                          <a:off x="0" y="0"/>
                          <a:ext cx="5391150" cy="635"/>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6.2pt;height:0.05pt;width:439.5pt;mso-wrap-distance-bottom:0pt;mso-wrap-distance-left:9pt;mso-wrap-distance-right:9pt;mso-wrap-distance-top:0pt;z-index:251660288;mso-width-relative:page;mso-height-relative:page;" filled="f" stroked="t" coordsize="21600,21600" o:gfxdata="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5Wh+zUAAAACAEAAA8AAAAAAAAAAQAgAAAAIgAAAGRycy9kb3ducmV2Lnht&#10;bFBLAQIUABQAAAAIAIdO4kAd3/jZ/QEAAPUDAAAOAAAAAAAAAAEAIAAAACMBAABkcnMvZTJvRG9j&#10;LnhtbFBLBQYAAAAABgAGAFkBAACSBQ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sz w:val="28"/>
          <w:szCs w:val="28"/>
        </w:rPr>
        <w:t xml:space="preserve">温州市科学技术局办公室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cs="Times New Roman"/>
          <w:sz w:val="28"/>
          <w:szCs w:val="28"/>
          <w:lang w:val="en-US" w:eastAsia="zh-CN"/>
        </w:rPr>
        <w:t>6</w:t>
      </w:r>
      <w:r>
        <w:rPr>
          <w:rFonts w:hint="default" w:ascii="Times New Roman" w:hAnsi="Times New Roman" w:eastAsia="仿宋_GB2312" w:cs="Times New Roman"/>
          <w:sz w:val="28"/>
          <w:szCs w:val="28"/>
        </w:rPr>
        <w:t>月</w:t>
      </w:r>
      <w:r>
        <w:rPr>
          <w:rFonts w:hint="eastAsia" w:ascii="Times New Roman" w:hAnsi="Times New Roman" w:cs="Times New Roman"/>
          <w:sz w:val="28"/>
          <w:szCs w:val="28"/>
          <w:lang w:val="en-US" w:eastAsia="zh-CN"/>
        </w:rPr>
        <w:t>28</w:t>
      </w:r>
      <w:r>
        <w:rPr>
          <w:rFonts w:hint="default" w:ascii="Times New Roman" w:hAnsi="Times New Roman" w:eastAsia="仿宋_GB2312" w:cs="Times New Roman"/>
          <w:sz w:val="28"/>
          <w:szCs w:val="28"/>
        </w:rPr>
        <w:t>日印发</w:t>
      </w:r>
    </w:p>
    <w:sectPr>
      <w:footerReference r:id="rId3" w:type="default"/>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Simplified Arabic"/>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implified Arabic">
    <w:panose1 w:val="02020603050405020304"/>
    <w:charset w:val="00"/>
    <w:family w:val="auto"/>
    <w:pitch w:val="default"/>
    <w:sig w:usb0="00002003" w:usb1="00000000" w:usb2="00000000" w:usb3="00000000" w:csb0="00000041" w:csb1="200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N2IyNGNiNzk0YzFlMTA5YWUxYjMwNmU3ZjZiOTQifQ=="/>
  </w:docVars>
  <w:rsids>
    <w:rsidRoot w:val="00E64509"/>
    <w:rsid w:val="00010C72"/>
    <w:rsid w:val="00021D49"/>
    <w:rsid w:val="00033DF6"/>
    <w:rsid w:val="000560E6"/>
    <w:rsid w:val="00056C32"/>
    <w:rsid w:val="00071EF4"/>
    <w:rsid w:val="00086A5B"/>
    <w:rsid w:val="000C001D"/>
    <w:rsid w:val="000C7BA4"/>
    <w:rsid w:val="000E78DA"/>
    <w:rsid w:val="0010306D"/>
    <w:rsid w:val="00103A1D"/>
    <w:rsid w:val="001134F9"/>
    <w:rsid w:val="00134629"/>
    <w:rsid w:val="00137AD4"/>
    <w:rsid w:val="001A260B"/>
    <w:rsid w:val="001F0A9C"/>
    <w:rsid w:val="001F4357"/>
    <w:rsid w:val="002039F4"/>
    <w:rsid w:val="00205EC1"/>
    <w:rsid w:val="00212867"/>
    <w:rsid w:val="00262597"/>
    <w:rsid w:val="00274367"/>
    <w:rsid w:val="00280B17"/>
    <w:rsid w:val="002A2402"/>
    <w:rsid w:val="00353F83"/>
    <w:rsid w:val="003672EF"/>
    <w:rsid w:val="003B0C61"/>
    <w:rsid w:val="003B7CF3"/>
    <w:rsid w:val="003D0F69"/>
    <w:rsid w:val="003E0149"/>
    <w:rsid w:val="0040275E"/>
    <w:rsid w:val="00416280"/>
    <w:rsid w:val="0042015F"/>
    <w:rsid w:val="00421826"/>
    <w:rsid w:val="004374EE"/>
    <w:rsid w:val="00447DFC"/>
    <w:rsid w:val="00452CC4"/>
    <w:rsid w:val="004616CE"/>
    <w:rsid w:val="00473CB7"/>
    <w:rsid w:val="004779A7"/>
    <w:rsid w:val="004A6C1F"/>
    <w:rsid w:val="004F5942"/>
    <w:rsid w:val="00504EBD"/>
    <w:rsid w:val="00563B3F"/>
    <w:rsid w:val="00574C84"/>
    <w:rsid w:val="00576C00"/>
    <w:rsid w:val="0058196E"/>
    <w:rsid w:val="0059563D"/>
    <w:rsid w:val="006513C5"/>
    <w:rsid w:val="006525F4"/>
    <w:rsid w:val="006B12F0"/>
    <w:rsid w:val="006D1318"/>
    <w:rsid w:val="007756FF"/>
    <w:rsid w:val="00781428"/>
    <w:rsid w:val="00781BD7"/>
    <w:rsid w:val="007860BF"/>
    <w:rsid w:val="007B05BE"/>
    <w:rsid w:val="007C22F3"/>
    <w:rsid w:val="007C3470"/>
    <w:rsid w:val="007D280D"/>
    <w:rsid w:val="0080342A"/>
    <w:rsid w:val="0082181C"/>
    <w:rsid w:val="00832C82"/>
    <w:rsid w:val="00837D7C"/>
    <w:rsid w:val="00875A39"/>
    <w:rsid w:val="008B23C5"/>
    <w:rsid w:val="008B6A92"/>
    <w:rsid w:val="008C3A98"/>
    <w:rsid w:val="008D1311"/>
    <w:rsid w:val="00900627"/>
    <w:rsid w:val="00900669"/>
    <w:rsid w:val="00905FB6"/>
    <w:rsid w:val="009404BA"/>
    <w:rsid w:val="00944243"/>
    <w:rsid w:val="00951591"/>
    <w:rsid w:val="0098259B"/>
    <w:rsid w:val="00983306"/>
    <w:rsid w:val="00993C8D"/>
    <w:rsid w:val="009C46FE"/>
    <w:rsid w:val="009E4EAD"/>
    <w:rsid w:val="00A13EA2"/>
    <w:rsid w:val="00A20DCE"/>
    <w:rsid w:val="00A55D92"/>
    <w:rsid w:val="00A84A0C"/>
    <w:rsid w:val="00AD2CFA"/>
    <w:rsid w:val="00AD6170"/>
    <w:rsid w:val="00AF0017"/>
    <w:rsid w:val="00B0352A"/>
    <w:rsid w:val="00B20A97"/>
    <w:rsid w:val="00B51976"/>
    <w:rsid w:val="00BA4F22"/>
    <w:rsid w:val="00C63569"/>
    <w:rsid w:val="00C71716"/>
    <w:rsid w:val="00C73FD0"/>
    <w:rsid w:val="00C96D2B"/>
    <w:rsid w:val="00CB61DC"/>
    <w:rsid w:val="00CD01F7"/>
    <w:rsid w:val="00D35CD7"/>
    <w:rsid w:val="00D920FD"/>
    <w:rsid w:val="00DB4A96"/>
    <w:rsid w:val="00DE6624"/>
    <w:rsid w:val="00E1114A"/>
    <w:rsid w:val="00E64509"/>
    <w:rsid w:val="00E961E5"/>
    <w:rsid w:val="00EB5185"/>
    <w:rsid w:val="00EC1568"/>
    <w:rsid w:val="00ED3EBA"/>
    <w:rsid w:val="00F0118A"/>
    <w:rsid w:val="00F275AA"/>
    <w:rsid w:val="00F44156"/>
    <w:rsid w:val="00F465CF"/>
    <w:rsid w:val="00FB1E6E"/>
    <w:rsid w:val="00FB23D7"/>
    <w:rsid w:val="00FC4580"/>
    <w:rsid w:val="00FD34A7"/>
    <w:rsid w:val="015B0C5D"/>
    <w:rsid w:val="01995B0E"/>
    <w:rsid w:val="023B229F"/>
    <w:rsid w:val="02A604E3"/>
    <w:rsid w:val="02C624EE"/>
    <w:rsid w:val="02F566A4"/>
    <w:rsid w:val="046D44C3"/>
    <w:rsid w:val="04CD385C"/>
    <w:rsid w:val="05340028"/>
    <w:rsid w:val="055C757F"/>
    <w:rsid w:val="05EC0669"/>
    <w:rsid w:val="08BA6A96"/>
    <w:rsid w:val="08E22BB5"/>
    <w:rsid w:val="08F63846"/>
    <w:rsid w:val="093B7794"/>
    <w:rsid w:val="099B59AB"/>
    <w:rsid w:val="09C15C02"/>
    <w:rsid w:val="09DA0C18"/>
    <w:rsid w:val="0A413654"/>
    <w:rsid w:val="0B0B35D9"/>
    <w:rsid w:val="0B3514FE"/>
    <w:rsid w:val="0B4E3C67"/>
    <w:rsid w:val="0C367F2E"/>
    <w:rsid w:val="0C5B5FF3"/>
    <w:rsid w:val="0C9D2956"/>
    <w:rsid w:val="0C9F11B1"/>
    <w:rsid w:val="0CC71781"/>
    <w:rsid w:val="0D4015BB"/>
    <w:rsid w:val="0E39220B"/>
    <w:rsid w:val="122D02D9"/>
    <w:rsid w:val="13CA639A"/>
    <w:rsid w:val="148B7538"/>
    <w:rsid w:val="158741A4"/>
    <w:rsid w:val="16273595"/>
    <w:rsid w:val="177054E1"/>
    <w:rsid w:val="178070FD"/>
    <w:rsid w:val="18622D1B"/>
    <w:rsid w:val="18996DF2"/>
    <w:rsid w:val="19F33BB6"/>
    <w:rsid w:val="1A6C6674"/>
    <w:rsid w:val="1AB62E35"/>
    <w:rsid w:val="1AE71241"/>
    <w:rsid w:val="1C033E58"/>
    <w:rsid w:val="1C4050AC"/>
    <w:rsid w:val="1C7C37C2"/>
    <w:rsid w:val="1E852174"/>
    <w:rsid w:val="1F132FD3"/>
    <w:rsid w:val="1F601469"/>
    <w:rsid w:val="218F107C"/>
    <w:rsid w:val="223D260E"/>
    <w:rsid w:val="2292603D"/>
    <w:rsid w:val="231B5F2B"/>
    <w:rsid w:val="234A5B06"/>
    <w:rsid w:val="235B1BC8"/>
    <w:rsid w:val="23784995"/>
    <w:rsid w:val="23A24673"/>
    <w:rsid w:val="24E46F1D"/>
    <w:rsid w:val="26170C2C"/>
    <w:rsid w:val="26527EB6"/>
    <w:rsid w:val="269366F1"/>
    <w:rsid w:val="26DC2275"/>
    <w:rsid w:val="27E40FE2"/>
    <w:rsid w:val="27EB2370"/>
    <w:rsid w:val="29EB53B1"/>
    <w:rsid w:val="2AF13271"/>
    <w:rsid w:val="2B7B5D32"/>
    <w:rsid w:val="2C4E620E"/>
    <w:rsid w:val="2CD12D0B"/>
    <w:rsid w:val="2D556877"/>
    <w:rsid w:val="2D7C73DC"/>
    <w:rsid w:val="2D917516"/>
    <w:rsid w:val="2DCF6290"/>
    <w:rsid w:val="2E0C1F16"/>
    <w:rsid w:val="2E50117F"/>
    <w:rsid w:val="2E505623"/>
    <w:rsid w:val="2E982B26"/>
    <w:rsid w:val="2F762E67"/>
    <w:rsid w:val="2F864FA4"/>
    <w:rsid w:val="2FBB6ACC"/>
    <w:rsid w:val="2FD22B15"/>
    <w:rsid w:val="300A6686"/>
    <w:rsid w:val="30325F36"/>
    <w:rsid w:val="31751578"/>
    <w:rsid w:val="317B7E30"/>
    <w:rsid w:val="31975317"/>
    <w:rsid w:val="32667DA6"/>
    <w:rsid w:val="332B3F69"/>
    <w:rsid w:val="336E3E55"/>
    <w:rsid w:val="343B01DB"/>
    <w:rsid w:val="34692F9B"/>
    <w:rsid w:val="3470617C"/>
    <w:rsid w:val="34A55F9D"/>
    <w:rsid w:val="35C0308E"/>
    <w:rsid w:val="35D97CAC"/>
    <w:rsid w:val="36184F77"/>
    <w:rsid w:val="387B1473"/>
    <w:rsid w:val="38B22A36"/>
    <w:rsid w:val="39477622"/>
    <w:rsid w:val="3A9D4BB7"/>
    <w:rsid w:val="3AD4138A"/>
    <w:rsid w:val="3B8958CD"/>
    <w:rsid w:val="3BB94ABA"/>
    <w:rsid w:val="3C0459B1"/>
    <w:rsid w:val="3CD52CCC"/>
    <w:rsid w:val="3D7604D6"/>
    <w:rsid w:val="3DAE6C4C"/>
    <w:rsid w:val="3FFF0C26"/>
    <w:rsid w:val="415113BD"/>
    <w:rsid w:val="428240EF"/>
    <w:rsid w:val="43313794"/>
    <w:rsid w:val="43B34232"/>
    <w:rsid w:val="43BC640A"/>
    <w:rsid w:val="43D81D74"/>
    <w:rsid w:val="44531571"/>
    <w:rsid w:val="45AA011D"/>
    <w:rsid w:val="45E36925"/>
    <w:rsid w:val="45FC406A"/>
    <w:rsid w:val="467460B6"/>
    <w:rsid w:val="46E464B1"/>
    <w:rsid w:val="471F1BDF"/>
    <w:rsid w:val="474653BD"/>
    <w:rsid w:val="49967C0A"/>
    <w:rsid w:val="499A72FA"/>
    <w:rsid w:val="49C47534"/>
    <w:rsid w:val="4AA246B9"/>
    <w:rsid w:val="4AED02A7"/>
    <w:rsid w:val="4CDB209D"/>
    <w:rsid w:val="4D155616"/>
    <w:rsid w:val="4E0B4C6B"/>
    <w:rsid w:val="4E3046D1"/>
    <w:rsid w:val="4E842EF9"/>
    <w:rsid w:val="4ECC61A8"/>
    <w:rsid w:val="4EFF0D58"/>
    <w:rsid w:val="4F675ED1"/>
    <w:rsid w:val="4FB923D4"/>
    <w:rsid w:val="514A57CD"/>
    <w:rsid w:val="51BD627C"/>
    <w:rsid w:val="51D501DA"/>
    <w:rsid w:val="52940405"/>
    <w:rsid w:val="52CA50F4"/>
    <w:rsid w:val="53016EFE"/>
    <w:rsid w:val="533B7DA0"/>
    <w:rsid w:val="535B5D4C"/>
    <w:rsid w:val="540C5299"/>
    <w:rsid w:val="572B3ADE"/>
    <w:rsid w:val="57653987"/>
    <w:rsid w:val="57A80A84"/>
    <w:rsid w:val="5915699E"/>
    <w:rsid w:val="59771406"/>
    <w:rsid w:val="5BD85FFE"/>
    <w:rsid w:val="5D37614A"/>
    <w:rsid w:val="5E19304C"/>
    <w:rsid w:val="5E1F278A"/>
    <w:rsid w:val="5E2A2EEB"/>
    <w:rsid w:val="5E2F6887"/>
    <w:rsid w:val="5FBE1B3D"/>
    <w:rsid w:val="5FFF727B"/>
    <w:rsid w:val="62566D52"/>
    <w:rsid w:val="625B7B17"/>
    <w:rsid w:val="6261187F"/>
    <w:rsid w:val="62A24544"/>
    <w:rsid w:val="62B80AC5"/>
    <w:rsid w:val="62D929E7"/>
    <w:rsid w:val="63801180"/>
    <w:rsid w:val="63B35731"/>
    <w:rsid w:val="64322AF9"/>
    <w:rsid w:val="66553B5F"/>
    <w:rsid w:val="6853425E"/>
    <w:rsid w:val="698C6808"/>
    <w:rsid w:val="6A132A85"/>
    <w:rsid w:val="6A7D49EA"/>
    <w:rsid w:val="6A9D0379"/>
    <w:rsid w:val="6AFC3D3C"/>
    <w:rsid w:val="6B560E7C"/>
    <w:rsid w:val="6B7B5EB4"/>
    <w:rsid w:val="6C3C50B9"/>
    <w:rsid w:val="6C6D09A2"/>
    <w:rsid w:val="6C7C0DB6"/>
    <w:rsid w:val="6CD429A0"/>
    <w:rsid w:val="6D415B5B"/>
    <w:rsid w:val="6DBC389B"/>
    <w:rsid w:val="6E82642B"/>
    <w:rsid w:val="6F800BBD"/>
    <w:rsid w:val="701B08E6"/>
    <w:rsid w:val="71184E25"/>
    <w:rsid w:val="721E436D"/>
    <w:rsid w:val="72CB65F3"/>
    <w:rsid w:val="73964DA9"/>
    <w:rsid w:val="745A5E80"/>
    <w:rsid w:val="75124773"/>
    <w:rsid w:val="75AA24FD"/>
    <w:rsid w:val="75F06371"/>
    <w:rsid w:val="7782124A"/>
    <w:rsid w:val="77971177"/>
    <w:rsid w:val="77C677ED"/>
    <w:rsid w:val="77E5216A"/>
    <w:rsid w:val="796340E7"/>
    <w:rsid w:val="797C182B"/>
    <w:rsid w:val="79DD6C0C"/>
    <w:rsid w:val="7A5A200A"/>
    <w:rsid w:val="7A9D2EE4"/>
    <w:rsid w:val="7AE01265"/>
    <w:rsid w:val="7AEB494F"/>
    <w:rsid w:val="7B643141"/>
    <w:rsid w:val="7BC6204D"/>
    <w:rsid w:val="7BED0C0D"/>
    <w:rsid w:val="7C0111EE"/>
    <w:rsid w:val="7CAB4D9F"/>
    <w:rsid w:val="7D6C7BFE"/>
    <w:rsid w:val="7EDF875D"/>
    <w:rsid w:val="7F716C23"/>
    <w:rsid w:val="7F7D73E8"/>
    <w:rsid w:val="7FAA3EA4"/>
    <w:rsid w:val="7FCB233C"/>
    <w:rsid w:val="7FF937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unhideWhenUsed/>
    <w:qFormat/>
    <w:uiPriority w:val="99"/>
    <w:pPr>
      <w:ind w:firstLine="420" w:firstLineChars="100"/>
    </w:pPr>
  </w:style>
  <w:style w:type="paragraph" w:styleId="3">
    <w:name w:val="Body Text"/>
    <w:basedOn w:val="1"/>
    <w:next w:val="2"/>
    <w:autoRedefine/>
    <w:unhideWhenUsed/>
    <w:qFormat/>
    <w:uiPriority w:val="99"/>
    <w:pPr>
      <w:spacing w:after="120"/>
    </w:pPr>
  </w:style>
  <w:style w:type="paragraph" w:styleId="4">
    <w:name w:val="Normal Indent"/>
    <w:basedOn w:val="1"/>
    <w:next w:val="1"/>
    <w:autoRedefine/>
    <w:qFormat/>
    <w:uiPriority w:val="0"/>
    <w:pPr>
      <w:ind w:firstLine="567"/>
    </w:pPr>
    <w:rPr>
      <w:rFonts w:ascii="Calibri" w:hAnsi="Calibri"/>
      <w:szCs w:val="21"/>
    </w:rPr>
  </w:style>
  <w:style w:type="paragraph" w:styleId="5">
    <w:name w:val="Body Text Indent"/>
    <w:basedOn w:val="1"/>
    <w:next w:val="4"/>
    <w:autoRedefine/>
    <w:unhideWhenUsed/>
    <w:qFormat/>
    <w:uiPriority w:val="99"/>
    <w:pPr>
      <w:spacing w:after="120"/>
      <w:ind w:left="420" w:leftChars="200"/>
    </w:pPr>
  </w:style>
  <w:style w:type="paragraph" w:styleId="6">
    <w:name w:val="endnote text"/>
    <w:basedOn w:val="1"/>
    <w:autoRedefine/>
    <w:qFormat/>
    <w:uiPriority w:val="0"/>
    <w:pPr>
      <w:snapToGrid w:val="0"/>
      <w:jc w:val="left"/>
    </w:pPr>
    <w:rPr>
      <w:rFonts w:ascii="Calibri" w:hAnsi="Calibri" w:eastAsia="宋体" w:cs="Times New Roman"/>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6"/>
    <w:next w:val="1"/>
    <w:autoRedefine/>
    <w:qFormat/>
    <w:uiPriority w:val="0"/>
    <w:pPr>
      <w:widowControl w:val="0"/>
      <w:ind w:left="2100" w:leftChars="1000"/>
      <w:jc w:val="both"/>
    </w:pPr>
    <w:rPr>
      <w:rFonts w:ascii="Times New Roman" w:hAnsi="Times New Roman" w:eastAsia="宋体" w:cs="Times New Roman"/>
      <w:kern w:val="2"/>
      <w:sz w:val="21"/>
      <w:szCs w:val="24"/>
      <w:lang w:val="en-US" w:eastAsia="zh-CN" w:bidi="ar-SA"/>
    </w:rPr>
  </w:style>
  <w:style w:type="paragraph" w:styleId="10">
    <w:name w:val="Normal (Web)"/>
    <w:basedOn w:val="1"/>
    <w:autoRedefine/>
    <w:qFormat/>
    <w:uiPriority w:val="0"/>
    <w:pPr>
      <w:widowControl/>
      <w:jc w:val="left"/>
    </w:pPr>
    <w:rPr>
      <w:rFonts w:ascii="宋体" w:hAnsi="宋体" w:eastAsia="宋体" w:cs="宋体"/>
      <w:kern w:val="0"/>
      <w:sz w:val="24"/>
    </w:rPr>
  </w:style>
  <w:style w:type="paragraph" w:styleId="11">
    <w:name w:val="Body Text First Indent 2"/>
    <w:basedOn w:val="5"/>
    <w:next w:val="1"/>
    <w:autoRedefine/>
    <w:qFormat/>
    <w:uiPriority w:val="0"/>
    <w:pPr>
      <w:ind w:firstLine="420" w:firstLineChars="200"/>
    </w:pPr>
  </w:style>
  <w:style w:type="paragraph" w:customStyle="1" w:styleId="14">
    <w:name w:val="正文文本首行缩进1"/>
    <w:qFormat/>
    <w:uiPriority w:val="99"/>
    <w:pPr>
      <w:widowControl w:val="0"/>
      <w:spacing w:line="500" w:lineRule="exact"/>
      <w:ind w:left="214" w:firstLine="420"/>
      <w:jc w:val="both"/>
    </w:pPr>
    <w:rPr>
      <w:rFonts w:ascii="Calibri" w:hAnsi="Calibri" w:eastAsia="宋体" w:cs="Times New Roman"/>
      <w:kern w:val="2"/>
      <w:sz w:val="28"/>
      <w:szCs w:val="32"/>
      <w:lang w:val="en-US" w:eastAsia="zh-CN" w:bidi="ar-SA"/>
    </w:rPr>
  </w:style>
  <w:style w:type="paragraph" w:customStyle="1" w:styleId="15">
    <w:name w:val="Body Text First Indent1"/>
    <w:basedOn w:val="3"/>
    <w:autoRedefine/>
    <w:qFormat/>
    <w:uiPriority w:val="0"/>
    <w:pPr>
      <w:ind w:firstLine="420" w:firstLineChars="100"/>
    </w:pPr>
    <w:rPr>
      <w:rFonts w:eastAsia="宋体"/>
    </w:rPr>
  </w:style>
  <w:style w:type="paragraph" w:customStyle="1" w:styleId="16">
    <w:name w:val="普通(网站) Char"/>
    <w:basedOn w:val="1"/>
    <w:autoRedefine/>
    <w:qFormat/>
    <w:uiPriority w:val="99"/>
    <w:pPr>
      <w:spacing w:beforeAutospacing="1" w:afterAutospacing="1"/>
      <w:jc w:val="left"/>
    </w:pPr>
    <w:rPr>
      <w:rFonts w:ascii="宋体" w:hAnsi="宋体"/>
      <w:kern w:val="0"/>
      <w:sz w:val="24"/>
    </w:rPr>
  </w:style>
  <w:style w:type="paragraph" w:customStyle="1" w:styleId="17">
    <w:name w:val="正文首行缩进1"/>
    <w:qFormat/>
    <w:uiPriority w:val="99"/>
    <w:pPr>
      <w:widowControl w:val="0"/>
      <w:autoSpaceDE w:val="0"/>
      <w:autoSpaceDN w:val="0"/>
      <w:adjustRightInd w:val="0"/>
      <w:spacing w:before="100" w:beforeAutospacing="1"/>
      <w:ind w:left="120" w:firstLine="420" w:firstLineChars="100"/>
    </w:pPr>
    <w:rPr>
      <w:rFonts w:ascii="宋体" w:hAnsi="Times New Roman" w:eastAsia="Times New Roman" w:cs="宋体"/>
      <w:sz w:val="26"/>
      <w:szCs w:val="21"/>
      <w:lang w:val="en-US" w:eastAsia="zh-CN" w:bidi="ar-SA"/>
    </w:rPr>
  </w:style>
  <w:style w:type="paragraph" w:styleId="18">
    <w:name w:val="List Paragraph"/>
    <w:basedOn w:val="1"/>
    <w:unhideWhenUsed/>
    <w:qFormat/>
    <w:uiPriority w:val="99"/>
    <w:pPr>
      <w:ind w:firstLine="420" w:firstLineChars="200"/>
    </w:pPr>
  </w:style>
  <w:style w:type="character" w:customStyle="1" w:styleId="19">
    <w:name w:val="NormalCharacter"/>
    <w:autoRedefine/>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2150</Words>
  <Characters>2200</Characters>
  <Lines>22</Lines>
  <Paragraphs>6</Paragraphs>
  <TotalTime>2</TotalTime>
  <ScaleCrop>false</ScaleCrop>
  <LinksUpToDate>false</LinksUpToDate>
  <CharactersWithSpaces>2316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2022-07-20T14:14:00Z</dcterms:created>
  <dc:creator>温州市科技局成果处4</dc:creator>
  <cp:lastModifiedBy>黄良孟</cp:lastModifiedBy>
  <cp:lastPrinted>2022-08-14T07:48:00Z</cp:lastPrinted>
  <dcterms:modified xsi:type="dcterms:W3CDTF">2024-07-05T06:12:03Z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9198D5D54F8C4A8A9E6B339689148FB9</vt:lpwstr>
  </property>
</Properties>
</file>