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DB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7A8B9A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75503C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 w14:paraId="3EABE9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156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2CA67AC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25F58E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05CF2F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88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6484DA0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1D9E14E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260451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关于市十四届人大四次会议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647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号建议的</w:t>
      </w:r>
    </w:p>
    <w:p w14:paraId="4FBC08D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 w14:paraId="7028A4D4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5B4F99A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刘晶晶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代表：</w:t>
      </w:r>
    </w:p>
    <w:p w14:paraId="47EAD18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您在市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十四届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人大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四次会议期间所提的《关于从孵化平台到孵化集群迈进中进一步释放磁场效应、驱动创新力量的建议》（人大建议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647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号）收悉。您在建议中就如何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推进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温州大孵化器集群建设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提出要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进一步健全孵化机制、加强内外合作交流、强化金融深度赋能孵化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等建议，我局深表赞同。经调查研究，现答复如下：</w:t>
      </w:r>
    </w:p>
    <w:p w14:paraId="1392663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近年来，温州大力推进大孵化器集群建设，坚持全市域统筹布局，市县联动、部门协同，集聚各方资源不断完善“物理空间+主导产业+专业运营+科创基金+服务配套”全周期全链条科创服务体系，推动科技成果转化通道更加畅通，新质生产力加速涌现，以大孵化器集群建设筑就青年创新创业梦工厂。一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全市一盘棋体系化推进。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印发实施《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2024年温州市大孵化器集群建设实施方案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》，以环大罗山科创走廊和三区两市为重点，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聚焦细分领域，差异化布局专业孵化基地，制定大孵化器集群专项发展行动计划，推动全市大孵化器集群“体系化、集聚化、示范化、品质化”建设。截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目前，全市累计建成孵化面积超542万方，累计引育创新型项目6600多个、各类人才5万余人。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二是稳步推进孵化载体提质增效。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全市引进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42家全国头部运营商开展专业化运营，示范带动存量孵化载体向专业化、特色化、差异化提档升级。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全力以赴推进“一港五谷”等一批专业孵化器建设，高标准打造正泰（乐清）物联网传感产业园、惠利玛数智鞋革孵化器等12家示范孵化基地。2023年新增省级科技企业孵化器（众创空间）25家，新增数居全省第二。在瑞安建立全国首个县级创新创业协会，推动孵化载体、创新平台之间资源共享、信息交流，实现优势互补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三是政策支持力度持续加大。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市级层面每年出台2000万工作激励政策包，专项支持大孵化器集群发展。落地大罗山基金村，累计引进各类私募基金、金融机构、服务机构多达156家，募集与投资资金规模近200亿元，推动金融深度赋能大孵化器集群建设。全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现有120多家孵化基地设立孵化基金，总规模16亿元，累计投资在孵企业6.7亿元。</w:t>
      </w:r>
    </w:p>
    <w:p w14:paraId="4D4A47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下一步，我们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将持续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  <w:t>推动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/>
        </w:rPr>
        <w:t>温州大孵化器集群建设，以硬核科技锻造新质生产力，撑起温州“强城”蝶变，打牢“双万”城市基础桩，为打造全省高质量发展第三极提供硬核支撑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/>
        </w:rPr>
        <w:t>。</w:t>
      </w:r>
    </w:p>
    <w:p w14:paraId="318AC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zh-TW" w:eastAsia="zh-CN" w:bidi="ar-SA"/>
        </w:rPr>
        <w:t>（一）优空间布局。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 w:bidi="ar-SA"/>
        </w:rPr>
        <w:t>按照体系化推进、集聚化布局、示范化引领、品质化建设“四化”要求，一体做好“紧盯增量、优化存量、激活潜量、提升质量”文章，推动城区布局孵化楼宇、孵化街区，在工业强镇、县城周边等重点区域布局建设孵化基地，打造更多满足企业研发、生产、办公一体化需求的孵化空间。同时，按照储备、培育、创建“三个一批”原则，紧盯示范孵化基地建设，打造一批具备冲击国家和省级实力，产业特色鲜明、运营成效显著的孵化载体，实现全市高新区省级以上科技企业孵化器全覆盖。</w:t>
      </w:r>
    </w:p>
    <w:p w14:paraId="29132D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（二）助成果转化。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支持在温高校、科研院所将孵化载体作为成果转化项目落地的首站，引导校友、青年科学家等在全市孵化载体创新创业。聚焦我市产业创新发展需求，强化科技成果转化，靶向引进共建大院名校技术转移转化中心、研究院等创新平台，推动科技成果在孵化载体中转化落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6801C5D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（三）促服务赋能。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孵化器从基础服务到增值服务的迭代趋势，实施孵化服务体系标准化建设，建立以专业机构为主导的项目评价体系，逐步推进融资服务、技术服务、人才服务、产业服务、品牌服务、政策服务、创业服务、综合服务等孵化服务在全市孵化基地全覆盖。组建全市大孵化器集群导师团队，引导更多有经验的科学家、企业家、创投家等领域人才跨界进入孵化行业，满足在孵企业全生命周期增值服务。</w:t>
      </w:r>
    </w:p>
    <w:p w14:paraId="5F932AD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（四）强交流合作。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强化孵化载体与高能级创新平台“双结对”，鼓励有条件的孵化载体建设技术转移中心、概念验证中心等公共服务平台，畅通科技成果转化通道。开展孵化载体与链主企业“双结对”，引导链主企业开放研发需求、市场订单等资源，推动产业链上下游关联企业入驻孵化载体，降本增效，形成雨林式企业孵化生态体系。围绕“来温州、创未来”双创活动品牌，持续推动大孵化器集群院校行、科技好成果路演等特色活动载体走出温州，吸引更多的在外高校毕业生和创业者来温创新创业。</w:t>
      </w:r>
    </w:p>
    <w:p w14:paraId="4583DE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（五）优金融支撑。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深化“空间+运营+基金”模式，大力发展科技金融，引导社会资本设立“天使基金”“种子基金”，支持孵化载体联合温商等社会资本共同设立专业的早期孵化基金，孵化硬科技项目。鼓励银行、担保机构等联合孵化器开发硬科技创业贷，给予长周期贷款支持，拓宽孵化载体内企业融资渠道。</w:t>
      </w:r>
    </w:p>
    <w:p w14:paraId="6D04944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5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最后，感谢您对科技创新工作的支持。</w:t>
      </w:r>
    </w:p>
    <w:p w14:paraId="2F4AA10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林忠华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，联系电话：88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287012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 w14:paraId="3D6025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5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351D9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5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3A76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5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 w14:paraId="6C3CCCE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62058ED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5B5543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6F371CC"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抄送：市人大常委会代表工委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市府办，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鹿城区人大常委会</w:t>
      </w:r>
    </w:p>
    <w:p w14:paraId="5AEC9786"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C5C8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22E66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22E66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C71781"/>
    <w:rsid w:val="0D4015BB"/>
    <w:rsid w:val="0E39220B"/>
    <w:rsid w:val="122D02D9"/>
    <w:rsid w:val="13CA639A"/>
    <w:rsid w:val="158741A4"/>
    <w:rsid w:val="16273595"/>
    <w:rsid w:val="177054E1"/>
    <w:rsid w:val="18622D1B"/>
    <w:rsid w:val="18996DF2"/>
    <w:rsid w:val="19F33BB6"/>
    <w:rsid w:val="1A6C6674"/>
    <w:rsid w:val="1AB62E35"/>
    <w:rsid w:val="1AE71241"/>
    <w:rsid w:val="1C033E58"/>
    <w:rsid w:val="1C4050AC"/>
    <w:rsid w:val="1C7C37C2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527EB6"/>
    <w:rsid w:val="269366F1"/>
    <w:rsid w:val="27E40FE2"/>
    <w:rsid w:val="27EB2370"/>
    <w:rsid w:val="29EB53B1"/>
    <w:rsid w:val="2AF13271"/>
    <w:rsid w:val="2B7B5D32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982B26"/>
    <w:rsid w:val="2F762E67"/>
    <w:rsid w:val="2F864FA4"/>
    <w:rsid w:val="2FBB6ACC"/>
    <w:rsid w:val="2FD22B15"/>
    <w:rsid w:val="30325F36"/>
    <w:rsid w:val="317B7E30"/>
    <w:rsid w:val="32667DA6"/>
    <w:rsid w:val="332B3F69"/>
    <w:rsid w:val="33795E2F"/>
    <w:rsid w:val="343B01DB"/>
    <w:rsid w:val="34692F9B"/>
    <w:rsid w:val="3470617C"/>
    <w:rsid w:val="34A55F9D"/>
    <w:rsid w:val="35C0308E"/>
    <w:rsid w:val="35D97CAC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AE6C4C"/>
    <w:rsid w:val="415113BD"/>
    <w:rsid w:val="428240EF"/>
    <w:rsid w:val="43313794"/>
    <w:rsid w:val="43B34232"/>
    <w:rsid w:val="43D81D74"/>
    <w:rsid w:val="44531571"/>
    <w:rsid w:val="45AA011D"/>
    <w:rsid w:val="45E36925"/>
    <w:rsid w:val="45FC406A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B7DA0"/>
    <w:rsid w:val="535B5D4C"/>
    <w:rsid w:val="540C5299"/>
    <w:rsid w:val="572B3ADE"/>
    <w:rsid w:val="57653987"/>
    <w:rsid w:val="57A80A84"/>
    <w:rsid w:val="5915699E"/>
    <w:rsid w:val="5BD85FFE"/>
    <w:rsid w:val="5D37614A"/>
    <w:rsid w:val="5E1F278A"/>
    <w:rsid w:val="5E2A2EEB"/>
    <w:rsid w:val="5E2F6887"/>
    <w:rsid w:val="5FBE1B3D"/>
    <w:rsid w:val="5FFF727B"/>
    <w:rsid w:val="62566D52"/>
    <w:rsid w:val="625B7B17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2CB65F3"/>
    <w:rsid w:val="73964DA9"/>
    <w:rsid w:val="745A5E80"/>
    <w:rsid w:val="75124773"/>
    <w:rsid w:val="75AA24FD"/>
    <w:rsid w:val="75C15E59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DF875D"/>
    <w:rsid w:val="7F716C23"/>
    <w:rsid w:val="7F7D73E8"/>
    <w:rsid w:val="7FAA3EA4"/>
    <w:rsid w:val="7FC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autoRedefine/>
    <w:qFormat/>
    <w:uiPriority w:val="0"/>
    <w:pPr>
      <w:ind w:firstLine="567"/>
    </w:pPr>
    <w:rPr>
      <w:rFonts w:ascii="Calibri" w:hAnsi="Calibri"/>
      <w:szCs w:val="21"/>
    </w:rPr>
  </w:style>
  <w:style w:type="paragraph" w:styleId="5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3">
    <w:name w:val="Body Text First Indent1"/>
    <w:basedOn w:val="3"/>
    <w:qFormat/>
    <w:uiPriority w:val="0"/>
    <w:pPr>
      <w:ind w:firstLine="420" w:firstLineChars="100"/>
    </w:pPr>
    <w:rPr>
      <w:rFonts w:eastAsia="宋体"/>
    </w:rPr>
  </w:style>
  <w:style w:type="paragraph" w:customStyle="1" w:styleId="14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1896</Words>
  <Characters>1946</Characters>
  <Lines>22</Lines>
  <Paragraphs>6</Paragraphs>
  <TotalTime>3</TotalTime>
  <ScaleCrop>false</ScaleCrop>
  <LinksUpToDate>false</LinksUpToDate>
  <CharactersWithSpaces>2062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2025-02-24T08:53:59Z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9198D5D54F8C4A8A9E6B339689148FB9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