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right"/>
        <w:rPr>
          <w:rFonts w:hint="default" w:ascii="Times New Roman" w:hAnsi="Times New Roman" w:eastAsia="黑体" w:cs="Times New Roman"/>
          <w:sz w:val="48"/>
          <w:szCs w:val="24"/>
        </w:rPr>
      </w:pPr>
    </w:p>
    <w:p>
      <w:pPr>
        <w:ind w:left="0" w:leftChars="0" w:firstLine="0" w:firstLineChars="0"/>
        <w:jc w:val="right"/>
        <w:rPr>
          <w:rFonts w:hint="default" w:ascii="Times New Roman" w:hAnsi="Times New Roman" w:eastAsia="黑体" w:cs="Times New Roman"/>
          <w:sz w:val="48"/>
          <w:szCs w:val="24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黑体" w:cs="Times New Roman"/>
          <w:sz w:val="48"/>
          <w:szCs w:val="24"/>
        </w:rPr>
      </w:pPr>
      <w:r>
        <w:rPr>
          <w:rFonts w:hint="eastAsia" w:eastAsia="黑体" w:cs="Times New Roman"/>
          <w:sz w:val="48"/>
          <w:szCs w:val="24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sz w:val="48"/>
          <w:szCs w:val="24"/>
        </w:rPr>
        <w:t>A</w:t>
      </w:r>
    </w:p>
    <w:p>
      <w:pPr>
        <w:pStyle w:val="10"/>
        <w:rPr>
          <w:rFonts w:hint="default" w:ascii="Times New Roman" w:hAnsi="Times New Roman" w:eastAsia="黑体" w:cs="Times New Roman"/>
          <w:sz w:val="48"/>
          <w:szCs w:val="24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-986155</wp:posOffset>
            </wp:positionH>
            <wp:positionV relativeFrom="paragraph">
              <wp:posOffset>42545</wp:posOffset>
            </wp:positionV>
            <wp:extent cx="7524750" cy="2085975"/>
            <wp:effectExtent l="0" t="0" r="0" b="9525"/>
            <wp:wrapNone/>
            <wp:docPr id="1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(红头)科技局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科提复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89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关于市十四届人大四次会议692号建议的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答 复 函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应辉辉代表：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您在市十四届人大</w:t>
      </w:r>
      <w:r>
        <w:rPr>
          <w:rFonts w:hint="default" w:ascii="Times New Roman" w:hAnsi="Times New Roman" w:cs="Times New Roman"/>
          <w:lang w:val="en-US" w:eastAsia="zh-CN"/>
        </w:rPr>
        <w:t>四</w:t>
      </w:r>
      <w:r>
        <w:rPr>
          <w:rFonts w:hint="default" w:ascii="Times New Roman" w:hAnsi="Times New Roman" w:cs="Times New Roman"/>
          <w:lang w:eastAsia="zh-CN"/>
        </w:rPr>
        <w:t>次会议期间所提的《关于深化温州大孵化集群发展，激活高质量发展新动能的建议》（人大建议</w:t>
      </w:r>
      <w:r>
        <w:rPr>
          <w:rFonts w:hint="default" w:ascii="Times New Roman" w:hAnsi="Times New Roman" w:cs="Times New Roman"/>
          <w:lang w:val="en-US" w:eastAsia="zh-CN"/>
        </w:rPr>
        <w:t>692号</w:t>
      </w:r>
      <w:r>
        <w:rPr>
          <w:rFonts w:hint="default" w:ascii="Times New Roman" w:hAnsi="Times New Roman" w:cs="Times New Roman"/>
          <w:lang w:eastAsia="zh-CN"/>
        </w:rPr>
        <w:t>）收悉。您在建议中提出了强化国有孵化重要支撑、深化孵化主体合作渠道、加强双创生态要素保障等三方面建议，我局认为具有很强的建设性意义，将在下一步工作中吸收采纳，现答复如下：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近年来，温州大力推进大孵化器集群建设，坚持全市域统筹布局，市县联动、部门协同，集聚各方资源不断完善“物理空间+主导产业+专业运营+科创基金+服务配套”全周期全链条科创服务体系，推动科技成果转化通道更加畅通，新质生产力加速涌现，以大孵化器集群建设筑就青年创新创业梦工厂。一是全市一盘棋体系化推进。印发实施《2024年温州市大孵化器集群建设实施方案》，以环大罗山科创走廊和三区两市为重点，聚焦细分领域，差异化布局专业孵化基地，制定大孵化器集群专项发展行动计划，推动全市大孵化器集群“体系化、集聚化、示范化、品质化”建设。截</w:t>
      </w:r>
      <w:r>
        <w:rPr>
          <w:rFonts w:hint="eastAsia" w:cs="Times New Roman"/>
          <w:lang w:eastAsia="zh-CN"/>
        </w:rPr>
        <w:t>至</w:t>
      </w:r>
      <w:bookmarkStart w:id="0" w:name="_GoBack"/>
      <w:bookmarkEnd w:id="0"/>
      <w:r>
        <w:rPr>
          <w:rFonts w:hint="default" w:ascii="Times New Roman" w:hAnsi="Times New Roman" w:cs="Times New Roman"/>
          <w:lang w:eastAsia="zh-CN"/>
        </w:rPr>
        <w:t>目前，全市累计建成孵化面积超542万方，累计引育创新型项目6600多个、各类人才5万余人。二是稳步推进孵化载体提质增效。全市引进42家全国头部运营商开展专业化运营，示范带动存量孵化载体向专业化、特色化、差异化提档升级。全力以赴推进“一港五谷”等一批专业孵化器建设，高标准打造正泰（乐清）物联网传感产业园、惠利玛数智鞋革孵化器等12家示范孵化基地。2023年新增省级科技企业孵化器（众创空间）25家，新增数居全省第二。在瑞安建立全国首个县级创新创业协会，推动孵化载体、创新平台之间资源共享、信息交流，实现优势互补。三是政策支持力度持续加大。市级层面每年出台2000万工作激励政策包，专项支持大孵化器集群发展。落地大罗山基金村，累计引进各类私募基金、金融机构、服务机构多达156家，募集与投资资金规模近200亿元，推动金融深度赋能大孵化器集群建设。全市现有120多家孵化基地设立孵化基金，总规模16亿元，累计投资在孵企业6.7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下一步，我局将根据您的建议，重点做好以下几方面工作，推进我市大孵化器集群高质量发展。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一、强化孵化空间布局建设。</w:t>
      </w:r>
      <w:r>
        <w:rPr>
          <w:rFonts w:hint="default" w:ascii="Times New Roman" w:hAnsi="Times New Roman" w:cs="Times New Roman"/>
          <w:b/>
          <w:bCs/>
          <w:lang w:eastAsia="zh-CN"/>
        </w:rPr>
        <w:t>一是优化孵化空间。</w:t>
      </w:r>
      <w:r>
        <w:rPr>
          <w:rFonts w:hint="default" w:ascii="Times New Roman" w:hAnsi="Times New Roman" w:cs="Times New Roman"/>
          <w:lang w:eastAsia="zh-CN"/>
        </w:rPr>
        <w:t>体系化建设孵化空间，以城市空间重构为契机，在大孵化器集群建设规划上全面融入“一主一副两城多点”空间结构，形成以“器”促“城”，以“城”筑“器”良性循环。集聚化布局孵化空间，以温州环大罗山科创走廊、“五城三园”、高新区等重大平台为主，布局建设孵化空间，逐步实现工业强镇孵化载体全覆盖。品质化打造孵化空间，坚持空间与配套同步建设，依托“双改”融合等，逐步推进孵化空间的内外部技术、商业、生活、交通等公共配套全覆盖，打造“无忧入驻”孵化空间。</w:t>
      </w:r>
      <w:r>
        <w:rPr>
          <w:rFonts w:hint="default" w:ascii="Times New Roman" w:hAnsi="Times New Roman" w:cs="Times New Roman"/>
          <w:b/>
          <w:bCs/>
          <w:lang w:eastAsia="zh-CN"/>
        </w:rPr>
        <w:t>二是建设孵化队伍。</w:t>
      </w:r>
      <w:r>
        <w:rPr>
          <w:rFonts w:hint="default" w:ascii="Times New Roman" w:hAnsi="Times New Roman" w:cs="Times New Roman"/>
          <w:lang w:eastAsia="zh-CN"/>
        </w:rPr>
        <w:t>打造“孵化载体成就人才，人才成就温州”的发展格局，建立全球一流孵化人才动态清单，强化精准画像与跟踪联系。结合各县（市、区）重点产业方向，协同遴选和引进硬科技孵化业绩突出、行业影响力较大、创新和产业资源丰富的人才团队，在温建设运营孵化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二、拓宽创新主体引育渠道。</w:t>
      </w:r>
      <w:r>
        <w:rPr>
          <w:rFonts w:hint="default" w:ascii="Times New Roman" w:hAnsi="Times New Roman" w:cs="Times New Roman"/>
          <w:b/>
          <w:bCs/>
          <w:lang w:eastAsia="zh-CN"/>
        </w:rPr>
        <w:t>一是建立产业配套招商机制。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组建跨部门协同的创新型项目招引专班，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坚持“高大上＋链群配”“抓大不放小”，靶向招引一批符合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我市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产业链条、产业集群、产业配套的创新项目、硬科技项目及具有未来想象空间的项目落地孵化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实施“温青回归”工程，高水平举办“510+行动”，引导市内外青年大学生团队入驻孵化空间创新创业。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二是探索超期孵化模式机制。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支持“三区两市”、工业强县等创新资源集聚的地区打造概念验证中心、中小试基地。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持在温高校、科研院所将孵化载体作为成果转化项目落地的首站，引导校友、青年科学家等在全市孵化载体创新创业。聚焦我市产业创新发展需求，强化科技成果转化，靶向引进共建大院名校技术转移转化中心、研究院等创新平台，推动科技成果在孵化载体中转化落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三、强化双创生态要素保障。</w:t>
      </w:r>
      <w:r>
        <w:rPr>
          <w:rFonts w:hint="default" w:ascii="Times New Roman" w:hAnsi="Times New Roman" w:cs="Times New Roman"/>
          <w:b/>
          <w:bCs/>
          <w:lang w:eastAsia="zh-CN"/>
        </w:rPr>
        <w:t>一是突出龙头企业引领。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鼓励龙头企业牵头打造产业链垂直孵化载体，强化孵化载体与链主企业“双结对”，通过产业链各个环节紧密配合，促进产业链上下游配套完整，形成“协同生态圈”，构建产业带动和创新发展的良性循环，实现在孵企业高速成长。</w:t>
      </w:r>
      <w:r>
        <w:rPr>
          <w:rFonts w:hint="default" w:ascii="Times New Roman" w:hAnsi="Times New Roman" w:cs="Times New Roman"/>
          <w:b/>
          <w:bCs/>
          <w:lang w:eastAsia="zh-CN"/>
        </w:rPr>
        <w:t>二是突出科技金融支持。</w:t>
      </w:r>
      <w:r>
        <w:rPr>
          <w:rFonts w:hint="default" w:ascii="Times New Roman" w:hAnsi="Times New Roman" w:cs="Times New Roman"/>
          <w:lang w:eastAsia="zh-CN"/>
        </w:rPr>
        <w:t>发挥市科投基金和各县（市、区）政府引导基金作用，支持高质量孵化器设立早期硬科技投资基金，促进投资孵化能力提升。鼓励创投基金与银行、担保、保险等金融机构加强合作，探索和深化股债联动、投保联动等业务。鼓励银行、高质量孵化器、担保机构等联合开发硬科技创业贷，给予硬科技创业企业更长期限的贷款支持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二是提升孵化服务能力。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按照孵化器从基础服务到增值服务的迭代趋势，实施孵化服务体系标准化建设，建立以专业机构为主导的项目评价体系，逐步推进融资服务、技术服务、人才服务、产业服务、品牌服务、政策服务、创业服务、综合服务等孵化服务在全市孵化基地全覆盖。组建全市大孵化器集群导师团队，引导更多有经验的科学家、企业家、创投家等领域人才跨界进入孵化行业，满足在孵企业全生命周期增值服务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70" w:lineRule="exact"/>
        <w:ind w:left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最后，感谢您对科技创新工作的支持。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林忠华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，联系电话：88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287012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温州市科学技术局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eastAsia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adjustRightInd w:val="0"/>
        <w:snapToGrid w:val="0"/>
        <w:spacing w:line="57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561965" cy="635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25pt;height:0.05pt;width:43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g5tLTAAAABgEAAA8AAAAAAAAAAQAgAAAAIgAAAGRycy9kb3ducmV2LnhtbFBL&#10;AQIUABQAAAAIAIdO4kChW4G6+wEAAPMDAAAOAAAAAAAAAAEAIAAAACI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抄送：市人大常委会代表工委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市府办，瑞安市人大常委会</w:t>
      </w:r>
    </w:p>
    <w:p>
      <w:pPr>
        <w:widowControl/>
        <w:adjustRightInd w:val="0"/>
        <w:snapToGrid w:val="0"/>
        <w:spacing w:line="570" w:lineRule="exact"/>
        <w:ind w:left="0" w:leftChars="0" w:firstLine="32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511175</wp:posOffset>
                </wp:positionV>
                <wp:extent cx="5571490" cy="635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0.25pt;height:0.05pt;width:438.7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CX6tUAAAAIAQAADwAAAAAAAAABACAAAAAiAAAAZHJzL2Rvd25yZXYueG1s&#10;UEsBAhQAFAAAAAgAh07iQAOfgbH7AQAA8wMAAA4AAAAAAAAAAQAgAAAAJAEAAGRycy9lMm9Eb2Mu&#10;eG1sUEsFBgAAAAAGAAYAWQEAAJE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581650" cy="635"/>
                <wp:effectExtent l="0" t="0" r="0" b="0"/>
                <wp:wrapSquare wrapText="bothSides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.05pt;width:439.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5Wh+zUAAAACAEAAA8AAAAAAAAAAQAgAAAAIgAAAGRycy9kb3ducmV2LnhtbFBL&#10;AQIUABQAAAAIAIdO4kDfDMDZ+gEAAPUDAAAOAAAAAAAAAAEAIAAAACM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温州市科学技术局办公室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implified Arabic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 w:firstLine="0" w:firstLineChars="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 w:firstLine="0" w:firstLineChars="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2IyNGNiNzk0YzFlMTA5YWUxYjMwNmU3ZjZiOTQifQ=="/>
  </w:docVars>
  <w:rsids>
    <w:rsidRoot w:val="68266AF3"/>
    <w:rsid w:val="036F1C4D"/>
    <w:rsid w:val="0BF16338"/>
    <w:rsid w:val="0E0719C6"/>
    <w:rsid w:val="146D1091"/>
    <w:rsid w:val="171459A3"/>
    <w:rsid w:val="18C5413A"/>
    <w:rsid w:val="1DCC309C"/>
    <w:rsid w:val="228906C0"/>
    <w:rsid w:val="25C12DBA"/>
    <w:rsid w:val="27207FB4"/>
    <w:rsid w:val="2C2761A6"/>
    <w:rsid w:val="302B1FB9"/>
    <w:rsid w:val="33504A6E"/>
    <w:rsid w:val="336631F3"/>
    <w:rsid w:val="34367069"/>
    <w:rsid w:val="3815725B"/>
    <w:rsid w:val="42C64FAE"/>
    <w:rsid w:val="45482758"/>
    <w:rsid w:val="45672132"/>
    <w:rsid w:val="4687180A"/>
    <w:rsid w:val="46A77952"/>
    <w:rsid w:val="4BAC488C"/>
    <w:rsid w:val="5C2C78F6"/>
    <w:rsid w:val="5D277664"/>
    <w:rsid w:val="5E8A5738"/>
    <w:rsid w:val="68266AF3"/>
    <w:rsid w:val="69842EAC"/>
    <w:rsid w:val="E3F5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9"/>
    </w:pPr>
    <w:rPr>
      <w:rFonts w:eastAsia="方正小标宋简体"/>
      <w:b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5">
    <w:name w:val="Normal Indent"/>
    <w:basedOn w:val="1"/>
    <w:next w:val="1"/>
    <w:qFormat/>
    <w:uiPriority w:val="0"/>
    <w:pPr>
      <w:ind w:firstLine="567"/>
    </w:pPr>
    <w:rPr>
      <w:rFonts w:ascii="Calibri" w:hAnsi="Calibri"/>
      <w:szCs w:val="21"/>
    </w:rPr>
  </w:style>
  <w:style w:type="paragraph" w:styleId="6">
    <w:name w:val="Body Text Indent"/>
    <w:basedOn w:val="1"/>
    <w:next w:val="5"/>
    <w:autoRedefine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 w:firstLine="525"/>
      <w:jc w:val="both"/>
    </w:pPr>
    <w:rPr>
      <w:rFonts w:hint="default" w:ascii="宋体" w:hAnsi="宋体" w:eastAsia="宋体" w:cs="宋体"/>
      <w:kern w:val="0"/>
      <w:sz w:val="24"/>
      <w:lang w:val="en-US" w:eastAsia="zh-CN" w:bidi="ar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2103</Words>
  <Characters>2149</Characters>
  <Lines>0</Lines>
  <Paragraphs>0</Paragraphs>
  <TotalTime>8</TotalTime>
  <ScaleCrop>false</ScaleCrop>
  <LinksUpToDate>false</LinksUpToDate>
  <CharactersWithSpaces>2152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2024-05-09T09:11:00Z</dcterms:created>
  <dc:creator>橘子小将</dc:creator>
  <cp:lastModifiedBy>黄良孟</cp:lastModifiedBy>
  <dcterms:modified xsi:type="dcterms:W3CDTF">2024-07-05T06:11:52Z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6ADB1719CC0D4BA1851939CF4F6455E7_11</vt:lpwstr>
  </property>
</Properties>
</file>