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E" w:rsidRDefault="00FE625E" w:rsidP="00FE625E">
      <w:pPr>
        <w:widowControl/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  <w:shd w:val="clear" w:color="auto" w:fill="FFFFFF"/>
          <w:lang/>
        </w:rPr>
        <w:t>入驻团队考核细则</w:t>
      </w:r>
    </w:p>
    <w:p w:rsidR="00FE625E" w:rsidRDefault="00FE625E" w:rsidP="00FE625E">
      <w:pPr>
        <w:widowControl/>
        <w:spacing w:line="560" w:lineRule="exact"/>
        <w:jc w:val="right"/>
        <w:rPr>
          <w:rFonts w:ascii="Times New Roman" w:eastAsia="仿宋" w:hAnsi="Times New Roman"/>
          <w:b/>
          <w:kern w:val="0"/>
          <w:szCs w:val="21"/>
          <w:shd w:val="clear" w:color="auto" w:fill="FFFFFF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3"/>
        <w:gridCol w:w="1517"/>
        <w:gridCol w:w="4690"/>
        <w:gridCol w:w="837"/>
      </w:tblGrid>
      <w:tr w:rsidR="00FE625E" w:rsidTr="004E7FB9">
        <w:trPr>
          <w:trHeight w:val="479"/>
          <w:jc w:val="center"/>
        </w:trPr>
        <w:tc>
          <w:tcPr>
            <w:tcW w:w="127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/>
              </w:rPr>
              <w:t>考核内容</w:t>
            </w:r>
          </w:p>
        </w:tc>
        <w:tc>
          <w:tcPr>
            <w:tcW w:w="151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/>
              </w:rPr>
              <w:t>具体指标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/>
              </w:rPr>
              <w:t>打分标准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/>
              </w:rPr>
              <w:t>基准分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一、企业运行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(20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营业收入</w:t>
            </w:r>
          </w:p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（折算成全年）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万元（含）以上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万元（含）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-100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万元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万元（含）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-50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万元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万元以下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计划进度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与入孵申请书中提出的目标任务完成程度达到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90%-100%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635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与入孵申请书中提出的目标任务完成程度达到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60%-90%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（含）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与入孵申请书中提出的目标任务完成程度达到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20%-60%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（含）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与入孵申请书中提出的目标任务完成程度在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20%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及以内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二、研发能力（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持续发展能力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项目有显著研发进展或有多个新项目立项或推出新产品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项以上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市场前景较好，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项目有一定研发进展或有新项目立项或推出新产品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市场前景不明朗，项目无实质进展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</w:t>
            </w:r>
            <w:r>
              <w:rPr>
                <w:rFonts w:ascii="Times New Roman" w:hAnsi="Times New Roman"/>
                <w:color w:val="000000"/>
                <w:szCs w:val="21"/>
              </w:rPr>
              <w:t>知识产权情况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授权发明专利或实质审查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项以上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授权其它知识产权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项或申请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项及以上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授权其它知识产权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项或申请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项及以上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授权其它知识产权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项或申请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项及以上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未申报专利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创业团队人员到位率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创业团队人员按创业计划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100%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到位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创业团队人员按创业计划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50%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以上到位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86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创业团队人员按创业计划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50%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以下到位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6.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创业团队素质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博士、留学人员或高级职称人员领衔创业；或研发队伍中有博士、留学人员或高级职称人员并能到位开展工作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硕士、学士或中级职称人员领衔创业；或研发队伍中有硕士、学士或中级职称人员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本科学历人员领衔创业；或研发队伍中有本科学历人员并能到位开展工作；或其它人员领衔创业并能到位开展工作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lastRenderedPageBreak/>
              <w:t>三、技术水平及发展潜力（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项目或产品市场前景</w:t>
            </w:r>
          </w:p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市场前景良好，已有多个合同订单或合作协议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市场前景较好，已有合同订单或合作协议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市场前景不明朗，无合同订单或合作协议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四、企业管理（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9.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管理制度建设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企业管理制度健全，财务管理规范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企业管理制度基本健全，财务管理较为规范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企业管理制度不健全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园区活动参与情况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出席率达</w:t>
            </w:r>
            <w:r>
              <w:rPr>
                <w:rFonts w:ascii="Times New Roman" w:hAnsi="Times New Roman"/>
                <w:color w:val="000000"/>
                <w:szCs w:val="21"/>
              </w:rPr>
              <w:t>80%</w:t>
            </w:r>
            <w:r>
              <w:rPr>
                <w:rFonts w:ascii="Times New Roman" w:hAnsi="Times New Roman"/>
                <w:color w:val="000000"/>
                <w:szCs w:val="21"/>
              </w:rPr>
              <w:t>以上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出席率</w:t>
            </w:r>
            <w:r>
              <w:rPr>
                <w:rFonts w:ascii="Times New Roman" w:hAnsi="Times New Roman"/>
                <w:color w:val="000000"/>
                <w:szCs w:val="21"/>
              </w:rPr>
              <w:t>50%-80%</w:t>
            </w:r>
            <w:r>
              <w:rPr>
                <w:rFonts w:ascii="Times New Roman" w:hAnsi="Times New Roman"/>
                <w:color w:val="000000"/>
                <w:szCs w:val="21"/>
              </w:rPr>
              <w:t>（含）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出席率</w:t>
            </w:r>
            <w:r>
              <w:rPr>
                <w:rFonts w:ascii="Times New Roman" w:hAnsi="Times New Roman"/>
                <w:color w:val="000000"/>
                <w:szCs w:val="21"/>
              </w:rPr>
              <w:t>50%</w:t>
            </w:r>
            <w:r>
              <w:rPr>
                <w:rFonts w:ascii="Times New Roman" w:hAnsi="Times New Roman"/>
                <w:color w:val="000000"/>
                <w:szCs w:val="21"/>
              </w:rPr>
              <w:t>及以下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11.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园区制度落实情况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执行情况较好的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执行情况一般的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执行情况较差的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02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12.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参加创新创业赛事情况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积极参加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02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不参加的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13.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信息报送情况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主动提交各类考核、审查报表，自觉提交重要工作信息的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从未提交的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02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14.</w:t>
            </w:r>
            <w:r>
              <w:rPr>
                <w:rFonts w:ascii="Times New Roman" w:hAnsi="Times New Roman"/>
                <w:color w:val="000000"/>
                <w:szCs w:val="21"/>
              </w:rPr>
              <w:t>吸纳应届毕业生就业情况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吸纳应届毕业生的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02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没有吸纳应届毕业生的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FE625E">
            <w:pPr>
              <w:widowControl/>
              <w:numPr>
                <w:ilvl w:val="0"/>
                <w:numId w:val="1"/>
              </w:numPr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加分项</w:t>
            </w:r>
          </w:p>
          <w:p w:rsidR="00FE625E" w:rsidRDefault="00FE625E" w:rsidP="004E7FB9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（本项最高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6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15.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取得高新技术企业称号加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分，获得省科技型中小企业称号加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分。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16.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考核期内，达成相关融资协议或融资意向。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17.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协助园区或以园区名义举办有影响力的活动。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18.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考核期内企业或企业核心成员获省级及以上、市级、县级荣誉分别加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获批国家、省、市、县级科研项目立项分别加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分，最高加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分。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  <w:tr w:rsidR="00FE625E" w:rsidTr="004E7FB9">
        <w:trPr>
          <w:trHeight w:val="369"/>
          <w:jc w:val="center"/>
        </w:trPr>
        <w:tc>
          <w:tcPr>
            <w:tcW w:w="12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spacing w:line="30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20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ind w:leftChars="50" w:left="105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</w:t>
            </w:r>
            <w:r>
              <w:rPr>
                <w:rFonts w:ascii="Times New Roman" w:hAnsi="Times New Roman"/>
                <w:color w:val="000000"/>
                <w:szCs w:val="21"/>
              </w:rPr>
              <w:t>自主或与高校、企业合作建设研发中心。</w:t>
            </w:r>
          </w:p>
        </w:tc>
        <w:tc>
          <w:tcPr>
            <w:tcW w:w="83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FE625E" w:rsidRDefault="00FE625E" w:rsidP="004E7F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>分</w:t>
            </w:r>
          </w:p>
        </w:tc>
      </w:tr>
    </w:tbl>
    <w:p w:rsidR="00FE625E" w:rsidRDefault="00FE625E" w:rsidP="00FE625E">
      <w:pPr>
        <w:pStyle w:val="a0"/>
        <w:rPr>
          <w:rFonts w:ascii="Times New Roman" w:eastAsia="仿宋_GB2312" w:hAnsi="Times New Roman"/>
        </w:rPr>
      </w:pPr>
    </w:p>
    <w:p w:rsidR="004A2594" w:rsidRPr="00FE625E" w:rsidRDefault="004A2594" w:rsidP="00FE625E"/>
    <w:sectPr w:rsidR="004A2594" w:rsidRPr="00FE625E" w:rsidSect="004A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CBCA"/>
    <w:multiLevelType w:val="singleLevel"/>
    <w:tmpl w:val="5A3ECBC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473"/>
    <w:rsid w:val="000613E5"/>
    <w:rsid w:val="004A2594"/>
    <w:rsid w:val="007A2298"/>
    <w:rsid w:val="00DE1473"/>
    <w:rsid w:val="00F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14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DE147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DE147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</dc:creator>
  <cp:lastModifiedBy>jinjing</cp:lastModifiedBy>
  <cp:revision>2</cp:revision>
  <dcterms:created xsi:type="dcterms:W3CDTF">2021-04-21T02:00:00Z</dcterms:created>
  <dcterms:modified xsi:type="dcterms:W3CDTF">2021-04-21T02:00:00Z</dcterms:modified>
</cp:coreProperties>
</file>