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F46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784DBA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3817A7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 w14:paraId="3DF34C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30C16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 w14:paraId="0BC935B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15ECFE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DB5A60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120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 w14:paraId="6B25A42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53ABF0F"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F7438F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347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 w14:paraId="360E74C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 w14:paraId="7667D26C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7C1B27E6">
      <w:pPr>
        <w:keepNext w:val="0"/>
        <w:keepLines w:val="0"/>
        <w:pageBreakBefore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民建市委会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：</w:t>
      </w:r>
    </w:p>
    <w:p w14:paraId="3CC4BF2B">
      <w:pPr>
        <w:keepNext w:val="0"/>
        <w:keepLines w:val="0"/>
        <w:pageBreakBefore w:val="0"/>
        <w:widowControl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贵单位在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市政协十二届三次会议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期间所提的《关于激发产业创新活力 构建“强城行动”新格局的提案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政协提案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第347号）收悉。经调查研究，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我们就提案中有关问题答复如下：</w:t>
      </w:r>
    </w:p>
    <w:p w14:paraId="49497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提案立足于温州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当下创新链与产业链融合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过程中存在的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产业链创新动力不足、产业化项目落地难、基金发展有限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等问题，提出通过激发企业创新侧源动力、打造全链条科研成果转化体系、优化创投基金运作机制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等举措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推动科技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创新更好赋能我市产业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发展，具有很强的现实指导意义。</w:t>
      </w:r>
    </w:p>
    <w:p w14:paraId="6E483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val="en-US" w:eastAsia="zh-CN"/>
        </w:rPr>
        <w:t>一、关于“</w:t>
      </w: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eastAsia="zh-CN"/>
        </w:rPr>
        <w:t>激发企业创新侧源动力，提升主体创新度</w:t>
      </w: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val="en-US" w:eastAsia="zh-CN"/>
        </w:rPr>
        <w:t>”的建议</w:t>
      </w:r>
    </w:p>
    <w:p w14:paraId="5E5F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近年来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，我市聚焦“5+5+n”核心产业，围绕“打造具有核心竞争力的专精特新企业聚集地”目标，大力推进万亿产业高质量发展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p w14:paraId="10DB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（一）产业链长制领跑全省。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全省率先创新实施产业链链长制“十个一”机制，20位厅级领导任17条市级产业链链长、副链长，清单化、项目化推进实施各产业链年度工作。在链长制引领下，产业集群效应加快凸显，国家层面，乐清电气产业集群高分通过国家先进制造业集群验收，永嘉泵阀产业集群入选国家中小企业特色产业集群。省级层面，入选“浙江制造”省级特色产业集群核心区2个、协同区5个、省级“新星”产业群3个，全省传统制造业改造提升现场会在温州召开，推广温州经验。</w:t>
      </w:r>
    </w:p>
    <w:p w14:paraId="10BA2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（二）企业梯队培育渐次成型。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出台《温州市打造“专精特新之城”行动方案（2023-2025年）》，落实20条具体培育举措。强化典型引领，推出4期“小巨人高管说”企业案例分享线上讲座；印发乐清、永嘉2地培育典型经验做法；邀请德国隐形冠军之父赫尔曼·西蒙来温讲座洽谈；举办专精特新创投大会，组织企业项目路演和融资对接，推广专精特新企业优质项目和典型案例。2024年1-4月，开展产业链对接活动52场，参与企业3400余家，对接订单金额73亿元。优化要素供给，创新金融举措支持专精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企业发展，截至4月末，国家专精特新“小巨人”贷款余额102亿元；省级专精特新中小企业贷款余额413亿元。迭代升级链长制2.0版，引导链主企业向产业链上下游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专精特新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企业输出技术、标准、品牌、管理、金融服务等，带动上下游企业升规提级。截至目前，我市累计培育创新型中小企业3243家、居全省第3；省级专精特新中小企业1144家、居全省第4；国家级专精特新“小巨人”企业140家、居全省第4；省级“隐形冠军”企业60家、居全省第2。我市专精特新“小巨人”企业户均拥有发明专利10.3件、主导或参与制定标准6.1项。</w:t>
      </w:r>
    </w:p>
    <w:p w14:paraId="23091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（三）企业创新能力日益提升。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构建企业技术创新长效激励机制，制定《全面提升全社会研发强度攻坚措施20条》，持续深化新“双倍增”计划，重点推进规下高企上规、规上企业进高企，促进高新企业规模化、规上企业高新化。加强引育优质规模企业，建设高水平企业研发机构，累计建立市级以上企业研发机构2369家，其中省级重点企业研究院34家（其中省级农业企业重点研究院9家、全省第1）、省级企业研究院205家、省级高新技术企业研发中心469家，着力提高企业R&amp;D活动覆盖面。切实做好企业研发费用加计扣除、高新技术企业所得税减免等税收优惠政策的落地工作，大力减轻企业研发投入压力，提高企业开展研发创新活动积极性。近年来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企业研发投入保持两位数增长，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2023年企业研发活动覆盖率71.27%、研发机构设置率60.9%，2022年全社会研发投入强度达2.61%、首超全国平均水平。</w:t>
      </w:r>
    </w:p>
    <w:p w14:paraId="0C34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（四）两化改造稳步推进。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分链条推动智能化改造，逐步形成自动化工段、数字化车间、智能工厂、未来工厂梯次培育体系。分链条推动节能化改造，重点开展空压、注塑、烘干、热循环、能源管控系统等产线节能改造，支持工业屋顶光伏、绿色微电网和源网荷储一体化建设。2023年新增实施智能化节能化改造项目1894个，6家企业入选国家智能制造示范工厂和优秀应用场景，数量全省第2，新增浙江省未来工厂1家。</w:t>
      </w:r>
    </w:p>
    <w:p w14:paraId="20A19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（五）“一港五谷”建设提速。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聚焦数字经济集聚区“一核心多区块”格局，加快建设“一港五谷”产业平台，数实融合发展取得新实效。2023年全市数字经济核心产业制造业增加值同比增长9%，新招引亿元以上数字经济项目61个，实施智能化节能化改造项目1894个，新增省级重点工业互联网平台、省级工业互联网平台分别居全省第1、第2。中国数安港、中国眼谷、中国基因药谷等“一港五谷”渐次成型。温州在中国数字经济城市发展百强排名第27位（全省第3）、中国城市数字化能力50强第24位（全省第3）。</w:t>
      </w:r>
    </w:p>
    <w:p w14:paraId="4CF9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（六）优化服务护航企业成长。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聚焦打造“中小微企业友好城市”，系统构建“两万”行动+“帮企云”平台+96666热线助企+政企直通车+企业服务中心+企检服务中心“六位一体”服务体系和涉企问题“一表通管”机制，市委市政府主要领导每月召开政企恳谈会，2024年已累计化解各类企业问题1520个。成立76个工业重镇（街道）打造的一站式服务中心，覆盖规上工业企业6547家，集成政策推送、诉求化解、涉企审批、要素对接、科技创新、数字赋能、法律维权、拓市创业、招商引资、政企交流等十大服务内容，构建起“半小时企业服务圈”，做法被国务院督查室刊发宣传。出台《温州市2024年减负降本工作要点》，力争全年为市场经营主体减负200亿元以上。</w:t>
      </w:r>
    </w:p>
    <w:p w14:paraId="0868F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下步，我市将持续推进“专精特新之城”建设，推动企业创新赋能、智改数转。</w:t>
      </w:r>
    </w:p>
    <w:p w14:paraId="4AB76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（一）加快先进制造业集群培育。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迭代产业链链长制“十个一”机制2.0版，编制实施先进制造业集群发展规划，推动传统产业高位嫁接，新兴产业抢位成长，未来产业前位布局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力争全年传统支柱产业总产值突破9500亿元，战略性新兴产业增加值增长7.5%。</w:t>
      </w:r>
    </w:p>
    <w:p w14:paraId="5B18D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（二）推动数实深度融合。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推动中国（温州）数安港、国际云软件谷、中国（温州）智能谷建设，全年新增招引落地超亿元数字经济项目30个以上。构建“5+5+N”工业互联网平台体系，规上工业企业数字化改造覆盖率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%以上，打造省级智能工厂（数字化车间）15个、未来工厂1家。</w:t>
      </w:r>
    </w:p>
    <w:p w14:paraId="0D55E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（三）加快产业链创新体系建设。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深化“揭榜挂帅”技术攻关模式，解决一批产业共性问题和堵点问题，全年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kern w:val="21"/>
          <w:sz w:val="32"/>
          <w:szCs w:val="32"/>
        </w:rPr>
        <w:t>关键核心技术</w:t>
      </w:r>
      <w:r>
        <w:rPr>
          <w:rFonts w:hint="default" w:ascii="Times New Roman" w:hAnsi="Times New Roman" w:eastAsia="仿宋_GB2312" w:cs="Times New Roman"/>
          <w:b w:val="0"/>
          <w:bCs/>
          <w:kern w:val="21"/>
          <w:sz w:val="32"/>
          <w:szCs w:val="32"/>
          <w:lang w:eastAsia="zh-CN"/>
        </w:rPr>
        <w:t>攻关</w:t>
      </w:r>
      <w:r>
        <w:rPr>
          <w:rFonts w:hint="default" w:ascii="Times New Roman" w:hAnsi="Times New Roman" w:eastAsia="仿宋_GB2312" w:cs="Times New Roman"/>
          <w:b w:val="0"/>
          <w:bCs/>
          <w:kern w:val="21"/>
          <w:sz w:val="32"/>
          <w:szCs w:val="32"/>
        </w:rPr>
        <w:t>80项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深入实施民营企业科技创新促进条例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构建省市县三级企业研发机构梯次培育体系，力争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省级以上企业研发机构100家以上，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规上工业企业研发机构设置率和研发活动覆盖率达到70%，引导龙头企业联合高校、科研院所等组建创新联合体1-2个，</w:t>
      </w:r>
      <w:r>
        <w:rPr>
          <w:rFonts w:hint="default" w:ascii="Times New Roman" w:hAnsi="Times New Roman" w:eastAsia="仿宋_GB2312" w:cs="Times New Roman"/>
          <w:b w:val="0"/>
          <w:bCs/>
          <w:kern w:val="21"/>
          <w:sz w:val="32"/>
          <w:szCs w:val="32"/>
        </w:rPr>
        <w:t>力争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社会研发经费投入占GDP比重达2.85%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 w14:paraId="2A0D9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（四）深化“专精特新之城”建设。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bidi="ar"/>
        </w:rPr>
        <w:t>实施头部企业“揭榜挂帅”，领军和高成长型企业三年培优，探索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新的专精特新政策储备，构建专精特新重点培育“种苗库”，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力争全年新增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省级及以上专精特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新中小企业300家。</w:t>
      </w:r>
    </w:p>
    <w:p w14:paraId="15DD5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val="en-US" w:eastAsia="zh-CN"/>
        </w:rPr>
        <w:t>关于“打造全链条科研成果转化体系，强化科技应用性”</w:t>
      </w:r>
      <w:r>
        <w:rPr>
          <w:rFonts w:hint="default" w:ascii="Times New Roman" w:hAnsi="Times New Roman" w:eastAsia="黑体" w:cs="Times New Roman"/>
          <w:b w:val="0"/>
          <w:bCs/>
          <w:spacing w:val="-4"/>
          <w:sz w:val="32"/>
          <w:szCs w:val="32"/>
          <w:lang w:eastAsia="zh-CN"/>
        </w:rPr>
        <w:t>的建议</w:t>
      </w:r>
    </w:p>
    <w:p w14:paraId="201EC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近年来，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积极推进科技成果转化体系建设，加强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创新链和产业链融合对接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：</w:t>
      </w:r>
    </w:p>
    <w:p w14:paraId="2D90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（一）强化企业科技成果转化主体地位。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深化科技企业“双倍增”“双迈进”行动，2023年新增高新技术企业763家，省科技型中小企业2344家，均居全省第三；新增省科技领军企业3家、科技小巨人企业11家，超历年总和2倍以上。全力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推动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在温高校、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新型研发机构等创新主体围绕产业转型升级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有组织科研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，建立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以企业为主体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、高校院所联动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的产学研合作和成果转化体系，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2023年企校联动获省“双尖双领”重大项目立项44项，入选省重大科技成果14项，实现技术交易额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496亿元，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创历史新高。</w:t>
      </w:r>
    </w:p>
    <w:p w14:paraId="34799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（二）打造大孵化集群“科技招商+成果转化”创新模式。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厚植人才创新创业热土，2022年启动大孵化器集群建设，制定5年建成孵化面积1000万方总目标，已累计建成孵化面积512万方，落地创新型项目5909个，集聚创新创业人才5.2万余人，建成孵化载体246个，涌现出“龙头企业牵头+自建自营”的科技招商模式和“高能级创新平台+孵化运营”的成果转化模式，“建引育”一体化模式入选科技部国家自创区改革创新典型案例。</w:t>
      </w:r>
    </w:p>
    <w:p w14:paraId="5C7C3A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（三）建强科技成果转移转化服务链条。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建立温州市校（院）地科技成果转化联合办公室，围绕“挖掘一批科技成果、路演一批科技成果、验证一批科技成果、落地一批科技成果”“四个一批”工作目标积极发挥效用。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大力引进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大院名校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技术转移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，累计建成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技术转移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推动全市新型研发机构成果转化平台全覆盖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《概念验证中心与中试基地建设指引（试行）》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支持高校、科研院所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规范开展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"/>
        </w:rPr>
        <w:t>科技成果的二次开发、工艺验证、中试熟化等服务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。今年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以来，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深入挖掘我市高校院所可转化科技成果18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项，举办“温州好成果”路演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场，推进百万以上科技成果转化项目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项，其中温州医科大学羊栖菜岩藻多糖提取制备技术、非视觉智能高端光电产品等百万以上成果在温落地。</w:t>
      </w:r>
    </w:p>
    <w:p w14:paraId="2A3BBF8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下一步，市科技局将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扎实推进市场导向的科技成果转化机制落地，加快全链条全周期科技成果转化服务体系建设，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着力提升科技成果转化指数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shd w:val="clear" w:color="auto" w:fill="auto"/>
          <w:lang w:eastAsia="zh-CN" w:bidi="ar"/>
        </w:rPr>
        <w:t>。</w:t>
      </w:r>
    </w:p>
    <w:p w14:paraId="3FB5D7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（一）重塑成果转化体系。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积极推动组建温州科创集团和温州市科技招商中心，围绕科技成果转化落地全链条搭建市场化服务板块，着力构建全市科技招商工作体系。加强温州市校（院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）地科技成果转化联合办公室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，联动温州科技大市场和国家大院名校温州联合研究院，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打造“温州好成果”品牌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，全年组织科技成果路演50场次，落地技术交易额在100万以上的科技成果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项，带动技术交易额超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亿元。</w:t>
      </w:r>
    </w:p>
    <w:p w14:paraId="34145E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（二）加强成果源头供给。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建立完善重大科技成果发现、遴选、推荐和管理机制，分层分类建设科技成果池，利用项目路演等多种形式推动科技成果库资源向科技型企业开放。推进科技成果评价改革，探索市级重大科技成果发布机制，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职务科技成果赋权改革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试点单位出成效，</w:t>
      </w:r>
      <w:r>
        <w:rPr>
          <w:rFonts w:hint="default" w:ascii="Times New Roman" w:hAnsi="Times New Roman" w:eastAsia="仿宋_GB2312" w:cs="Times New Roman"/>
          <w:caps w:val="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每年入库成果500个以上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FF5AB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（三）强化产业需求对接。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推广“科技副总”“科技轻骑队”，推动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高校、新型研发机构等向企业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提供更多“技术定制”、“订单式”研发服务，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实现科技成果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与企业有效对接。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全年向500家亿元以上科技企业派驻“科技副总”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E13B6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（四）做优成果转化生态。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聚焦新兴产业和未来产业，积极打造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“中试+”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生态，推动在中国基因药谷、中国眼谷等大孵化器集聚建设一批中试平台，整合发挥高校院所、中试平台、专业孵化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器、天使基金、龙头企业等五大主体创新资源优势，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拓展出“中试+人才”“中试+孵化器”“中试+基金”等多种服务模式。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试平台构建“中试+投资+孵化”的运营模式，为科技成果转化提供中试熟化、专业孵化和天使投资等一站式服务；支持中试平台打造“研发+中试+场景”的创新生态，向前延伸链接高校院所等项目供给端，向后延伸拓展龙头企业、链主企业等成果转化应用场景，加快形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技术研发+中试平台+专业孵化+天使基金+应用场景”五位一体的创新生态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。</w:t>
      </w:r>
    </w:p>
    <w:p w14:paraId="744BD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312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pacing w:val="-4"/>
          <w:kern w:val="2"/>
          <w:sz w:val="32"/>
          <w:szCs w:val="32"/>
          <w:lang w:val="en-US" w:eastAsia="zh-CN" w:bidi="ar-SA"/>
        </w:rPr>
        <w:t xml:space="preserve">  三、关于“优化创投基金的运作机制，增强基金集群力”的建议</w:t>
      </w:r>
    </w:p>
    <w:p w14:paraId="5E750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近年来，我市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充分发挥产业引导基金在推动科技创新、产业转型升级等方面的积极作用，持续提升产业基金服务实体经济效能：</w:t>
      </w:r>
    </w:p>
    <w:p w14:paraId="4FC921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（一）全面释放产业基金撬动效应。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我市持续优化政府产业基金顶层架构，按照“1+1+1”的总体框架组建了市本级新一轮产业基金体系，三支母基金分类运作、相互补充。其中，市重点产业发展基金总规模200亿元，着力培育本地量大万亿产业集群和支持招引重大项目落地；市国资创新投资基金总规模200亿元，以市场化投资经营为主，助推我市国资国企改革和产业振兴；市科技创新创业投资基金将从50亿元规模优化扩容至100亿元，聚焦“投早投小投硬科技”，推动更多科研成果落地和产业化。各县（市、区、功能区）同步设立超500亿元产业基金，探索形成千亿产业基金集群，联动共同构建全链条、全生命周期、多元化支撑的产业基金生态，可分阶段对企业提供持续性的投资支持，推动科技成果转化和产业化。</w:t>
      </w:r>
    </w:p>
    <w:p w14:paraId="27E4859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（二）推进重大主题基金落地。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积极贯彻省、市有关部署，与省金控公司合作设立了规模30亿元的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专精特新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温州）母基金，争取到省级出资9亿元，撬动社会资本12亿元，引入头部基金管理机构粤科金融集团，派驻专人在温服务投资，支持我市专精特新企业发展。充分发挥产业基金推进科技创新、促进产业优化升级的积极作用，紧扣温州产业发展规划和重点工作部署，近年来陆续组建了一系列主题子基金，如设立2亿元规模青科基金，推进青年科学家峰会科技成果转化；设立2亿元规模数安港基金，支持数安港平台创建，大力扶持数据安全、人工智能等领域初创期、成长期企业；设立3亿元规模爱尔（眼谷）基金，为“中国眼谷”打造全球眼健康科创高地和产业培育聚势赋能。</w:t>
      </w:r>
    </w:p>
    <w:p w14:paraId="058D7D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（三）推进股权投资基金行业发展。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持续优化基金生态，制定出台《温州市加快基金业集聚促进股权投资高质量发展若干措施》，提出十个方面政策支持私募基金股权投资，如股权投资基金向温州种子期、初创期企业投资，按其投资金额的5%最高奖励300万元，撬动更多社会资本持续加大对温州“5+5+N”产业体系的投资力度，支持本土科技创新企业快速发展。截至5月末，大罗山基金村共有入驻私募基金管理机构5家、私募股权、创业投资基金146只（已备案61家），注册规模合计232.65亿元，其中私募股权、创业投资基金注册规模232.2亿元，实缴规模合计39.68亿元，已完成项目投资72个20.37亿元（含温州项目13个6.25亿元）。</w:t>
      </w:r>
    </w:p>
    <w:p w14:paraId="0C55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下一步，我市将持续优化创新创业投资氛围，部门协同加强对现有基金的优化、巩固和提升，推动基金更好助力“强城行动”。</w:t>
      </w:r>
    </w:p>
    <w:p w14:paraId="7945E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（一）持续推进基金业发展。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落实市委市政府有关部署，部门协同推进我市千亿产业基金集群运作，持续优化基金发展环境，以基金培育产业、以基金引进项目、以基金促进转型，切实发挥政府产业基金培育新质生产力、赋能高质量发展的积极作用。持续推进大罗山基金村建设，合力打造路演特色品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引导培育本土投资平台做强做大，吸引更多优秀的境内外资本落户温州，助力区域产业孵化及转型升级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。</w:t>
      </w:r>
    </w:p>
    <w:p w14:paraId="3CEAB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（二）深入挖掘培育科创企业上市。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不断夯实和优化企业上市后备梯队，充分挖掘专精特新企业等资源，并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依托上交所、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北交所温州基地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多层次、多形式组织资本市场业务培训活动，着力增强企业上市意愿，提高企业上市能力，加快推进符合条件的科技企业对接境内外多层次资本市场，扩大资本市场温州版块。</w:t>
      </w:r>
    </w:p>
    <w:p w14:paraId="4465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感谢贵单位对我市科技创新工作的关心和支持，诚挚欢迎多提宝贵意见！</w:t>
      </w:r>
    </w:p>
    <w:p w14:paraId="26C7A5C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 xml:space="preserve">    联系人：李贤，联系电话：88962022。</w:t>
      </w:r>
    </w:p>
    <w:p w14:paraId="3FFBE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4FE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54A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 w14:paraId="3B6FF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4AB6878">
      <w:pPr>
        <w:pStyle w:val="12"/>
        <w:rPr>
          <w:rFonts w:hint="default"/>
        </w:rPr>
      </w:pPr>
    </w:p>
    <w:p w14:paraId="4EF7BE53">
      <w:pPr>
        <w:pStyle w:val="12"/>
        <w:ind w:left="0" w:leftChars="0" w:firstLine="0" w:firstLineChars="0"/>
        <w:rPr>
          <w:rFonts w:hint="default"/>
        </w:rPr>
      </w:pPr>
    </w:p>
    <w:p w14:paraId="4D540D49">
      <w:pPr>
        <w:rPr>
          <w:rFonts w:hint="default"/>
        </w:rPr>
      </w:pPr>
    </w:p>
    <w:p w14:paraId="1C514A02">
      <w:pPr>
        <w:pStyle w:val="12"/>
        <w:rPr>
          <w:rFonts w:hint="default"/>
        </w:rPr>
      </w:pPr>
    </w:p>
    <w:p w14:paraId="6D6B9981">
      <w:pPr>
        <w:rPr>
          <w:rFonts w:hint="default"/>
        </w:rPr>
      </w:pPr>
    </w:p>
    <w:p w14:paraId="07D4E0A3">
      <w:pPr>
        <w:pStyle w:val="12"/>
        <w:rPr>
          <w:rFonts w:hint="default"/>
        </w:rPr>
      </w:pPr>
    </w:p>
    <w:p w14:paraId="517BEC64">
      <w:pPr>
        <w:rPr>
          <w:rFonts w:hint="default"/>
        </w:rPr>
      </w:pPr>
    </w:p>
    <w:p w14:paraId="5E694E88">
      <w:pPr>
        <w:pStyle w:val="12"/>
        <w:rPr>
          <w:rFonts w:hint="default"/>
        </w:rPr>
      </w:pPr>
    </w:p>
    <w:p w14:paraId="1590DFB6">
      <w:pPr>
        <w:rPr>
          <w:rFonts w:hint="default"/>
        </w:rPr>
      </w:pPr>
    </w:p>
    <w:p w14:paraId="0EB1C3AF">
      <w:pPr>
        <w:pStyle w:val="12"/>
        <w:rPr>
          <w:rFonts w:hint="default"/>
        </w:rPr>
      </w:pPr>
    </w:p>
    <w:p w14:paraId="1F6EBB3F">
      <w:pPr>
        <w:rPr>
          <w:rFonts w:hint="default"/>
        </w:rPr>
      </w:pPr>
    </w:p>
    <w:p w14:paraId="5CDAE434">
      <w:pPr>
        <w:pStyle w:val="12"/>
        <w:rPr>
          <w:rFonts w:hint="default"/>
        </w:rPr>
      </w:pPr>
    </w:p>
    <w:p w14:paraId="4ED902CB">
      <w:pPr>
        <w:rPr>
          <w:rFonts w:hint="default"/>
        </w:rPr>
      </w:pPr>
    </w:p>
    <w:p w14:paraId="7CFA13AB">
      <w:pPr>
        <w:pStyle w:val="12"/>
        <w:rPr>
          <w:rFonts w:hint="default"/>
        </w:rPr>
      </w:pPr>
    </w:p>
    <w:p w14:paraId="4923924A">
      <w:pPr>
        <w:rPr>
          <w:rFonts w:hint="default"/>
        </w:rPr>
      </w:pPr>
    </w:p>
    <w:p w14:paraId="433F01A7">
      <w:pPr>
        <w:pStyle w:val="12"/>
        <w:rPr>
          <w:rFonts w:hint="default"/>
        </w:rPr>
      </w:pPr>
    </w:p>
    <w:p w14:paraId="0FCAC2FD">
      <w:pPr>
        <w:rPr>
          <w:rFonts w:hint="default"/>
        </w:rPr>
      </w:pPr>
    </w:p>
    <w:p w14:paraId="6D648091">
      <w:pPr>
        <w:rPr>
          <w:rFonts w:hint="default"/>
        </w:rPr>
      </w:pPr>
    </w:p>
    <w:p w14:paraId="2836AE54">
      <w:pPr>
        <w:pStyle w:val="12"/>
        <w:rPr>
          <w:rFonts w:hint="default"/>
        </w:rPr>
      </w:pPr>
    </w:p>
    <w:p w14:paraId="58AD72F8">
      <w:pPr>
        <w:rPr>
          <w:rFonts w:hint="default"/>
        </w:rPr>
      </w:pPr>
    </w:p>
    <w:p w14:paraId="61860082">
      <w:pPr>
        <w:pStyle w:val="12"/>
        <w:rPr>
          <w:rFonts w:hint="default"/>
        </w:rPr>
      </w:pPr>
    </w:p>
    <w:p w14:paraId="01DC232A">
      <w:pPr>
        <w:rPr>
          <w:rFonts w:hint="default"/>
        </w:rPr>
      </w:pPr>
    </w:p>
    <w:p w14:paraId="3865AB8E">
      <w:pPr>
        <w:pStyle w:val="12"/>
        <w:rPr>
          <w:rFonts w:hint="default"/>
        </w:rPr>
      </w:pPr>
    </w:p>
    <w:p w14:paraId="009F1E2B">
      <w:pPr>
        <w:rPr>
          <w:rFonts w:hint="default"/>
        </w:rPr>
      </w:pPr>
    </w:p>
    <w:p w14:paraId="7054217D">
      <w:pPr>
        <w:pStyle w:val="12"/>
        <w:rPr>
          <w:rFonts w:hint="default"/>
        </w:rPr>
      </w:pPr>
    </w:p>
    <w:p w14:paraId="323D4B5D">
      <w:pPr>
        <w:rPr>
          <w:rFonts w:hint="default"/>
        </w:rPr>
      </w:pPr>
    </w:p>
    <w:p w14:paraId="4807ABE1">
      <w:pPr>
        <w:pStyle w:val="12"/>
        <w:rPr>
          <w:rFonts w:hint="default"/>
        </w:rPr>
      </w:pPr>
    </w:p>
    <w:p w14:paraId="4E69F9F9">
      <w:pPr>
        <w:pStyle w:val="12"/>
        <w:rPr>
          <w:rFonts w:hint="default"/>
        </w:rPr>
      </w:pPr>
    </w:p>
    <w:p w14:paraId="4CBCD973">
      <w:pPr>
        <w:rPr>
          <w:rFonts w:hint="default"/>
        </w:rPr>
      </w:pPr>
    </w:p>
    <w:p w14:paraId="2CE9050B">
      <w:pPr>
        <w:rPr>
          <w:rFonts w:hint="default"/>
        </w:rPr>
      </w:pPr>
    </w:p>
    <w:p w14:paraId="08F7F9DC">
      <w:pPr>
        <w:rPr>
          <w:rFonts w:hint="default"/>
        </w:rPr>
      </w:pPr>
    </w:p>
    <w:p w14:paraId="42B5C9DF">
      <w:pPr>
        <w:rPr>
          <w:rFonts w:hint="default"/>
        </w:rPr>
      </w:pPr>
    </w:p>
    <w:p w14:paraId="2E9ACD0E">
      <w:pPr>
        <w:rPr>
          <w:rFonts w:hint="default"/>
        </w:rPr>
      </w:pPr>
    </w:p>
    <w:p w14:paraId="6CC8F8F1">
      <w:pPr>
        <w:rPr>
          <w:rFonts w:hint="default"/>
        </w:rPr>
      </w:pPr>
    </w:p>
    <w:p w14:paraId="04646FCF">
      <w:pPr>
        <w:rPr>
          <w:rFonts w:hint="default"/>
        </w:rPr>
      </w:pPr>
    </w:p>
    <w:p w14:paraId="2E6987A5">
      <w:pPr>
        <w:rPr>
          <w:rFonts w:hint="default"/>
        </w:rPr>
      </w:pPr>
    </w:p>
    <w:p w14:paraId="7B605CCD">
      <w:pPr>
        <w:rPr>
          <w:rFonts w:hint="default"/>
        </w:rPr>
      </w:pPr>
    </w:p>
    <w:p w14:paraId="09F56643">
      <w:pPr>
        <w:rPr>
          <w:rFonts w:hint="default"/>
        </w:rPr>
      </w:pPr>
    </w:p>
    <w:p w14:paraId="1EBDFBDD">
      <w:pPr>
        <w:rPr>
          <w:rFonts w:hint="default"/>
        </w:rPr>
      </w:pPr>
    </w:p>
    <w:p w14:paraId="1A6505D0">
      <w:pPr>
        <w:rPr>
          <w:rFonts w:hint="default"/>
        </w:rPr>
      </w:pPr>
    </w:p>
    <w:p w14:paraId="1C0CD230">
      <w:pPr>
        <w:rPr>
          <w:rFonts w:hint="default"/>
        </w:rPr>
      </w:pPr>
    </w:p>
    <w:p w14:paraId="4F175432">
      <w:pPr>
        <w:rPr>
          <w:rFonts w:hint="default"/>
        </w:rPr>
      </w:pPr>
    </w:p>
    <w:p w14:paraId="5B1D4932">
      <w:pPr>
        <w:rPr>
          <w:rFonts w:hint="default"/>
        </w:rPr>
      </w:pPr>
    </w:p>
    <w:p w14:paraId="431D1500"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 w14:paraId="151E50A2"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611B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9BA34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9BA34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YWIyMDM4ODBiMGQxZjMyOGRiZTRmZDI5NzU3NDE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192C1F"/>
    <w:rsid w:val="015B0C5D"/>
    <w:rsid w:val="01995B0E"/>
    <w:rsid w:val="023B229F"/>
    <w:rsid w:val="02A604E3"/>
    <w:rsid w:val="02C624EE"/>
    <w:rsid w:val="02E334E5"/>
    <w:rsid w:val="02F566A4"/>
    <w:rsid w:val="046D44C3"/>
    <w:rsid w:val="04CD385C"/>
    <w:rsid w:val="05340028"/>
    <w:rsid w:val="055C757F"/>
    <w:rsid w:val="05EC0669"/>
    <w:rsid w:val="071C5217"/>
    <w:rsid w:val="08A47272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DB22432"/>
    <w:rsid w:val="0E2A564C"/>
    <w:rsid w:val="0E39220B"/>
    <w:rsid w:val="116D0538"/>
    <w:rsid w:val="122D02D9"/>
    <w:rsid w:val="138561DC"/>
    <w:rsid w:val="13CA639A"/>
    <w:rsid w:val="13FA41EA"/>
    <w:rsid w:val="158741A4"/>
    <w:rsid w:val="15DE18EA"/>
    <w:rsid w:val="16273595"/>
    <w:rsid w:val="177054E1"/>
    <w:rsid w:val="18622D1B"/>
    <w:rsid w:val="18996DF2"/>
    <w:rsid w:val="19F33BB6"/>
    <w:rsid w:val="1A473F02"/>
    <w:rsid w:val="1A6C6674"/>
    <w:rsid w:val="1AB62E35"/>
    <w:rsid w:val="1AE71241"/>
    <w:rsid w:val="1B8076CB"/>
    <w:rsid w:val="1C033E58"/>
    <w:rsid w:val="1C4050AC"/>
    <w:rsid w:val="1C7C37C2"/>
    <w:rsid w:val="1CDA4151"/>
    <w:rsid w:val="1DA578BD"/>
    <w:rsid w:val="1E0A5972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4F669A"/>
    <w:rsid w:val="26527EB6"/>
    <w:rsid w:val="269366F1"/>
    <w:rsid w:val="27E40FE2"/>
    <w:rsid w:val="27EB2370"/>
    <w:rsid w:val="28CC5549"/>
    <w:rsid w:val="29752839"/>
    <w:rsid w:val="29EB53B1"/>
    <w:rsid w:val="2AF13271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6A7D67"/>
    <w:rsid w:val="2E982B26"/>
    <w:rsid w:val="2F762E67"/>
    <w:rsid w:val="2F864FA4"/>
    <w:rsid w:val="2FBB6ACC"/>
    <w:rsid w:val="2FD22B15"/>
    <w:rsid w:val="30325F36"/>
    <w:rsid w:val="30B8300C"/>
    <w:rsid w:val="31010E56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255ECD"/>
    <w:rsid w:val="3D7604D6"/>
    <w:rsid w:val="3DAE6C4C"/>
    <w:rsid w:val="410B53D9"/>
    <w:rsid w:val="415113BD"/>
    <w:rsid w:val="41526B64"/>
    <w:rsid w:val="428240EF"/>
    <w:rsid w:val="43313794"/>
    <w:rsid w:val="43B34232"/>
    <w:rsid w:val="43D81D74"/>
    <w:rsid w:val="44531571"/>
    <w:rsid w:val="44BA6EFA"/>
    <w:rsid w:val="45AA011D"/>
    <w:rsid w:val="45C40B15"/>
    <w:rsid w:val="45E36925"/>
    <w:rsid w:val="45FC406A"/>
    <w:rsid w:val="464A3A5F"/>
    <w:rsid w:val="467460B6"/>
    <w:rsid w:val="46E464B1"/>
    <w:rsid w:val="471F1BDF"/>
    <w:rsid w:val="474653BD"/>
    <w:rsid w:val="49967C0A"/>
    <w:rsid w:val="499A72FA"/>
    <w:rsid w:val="49C47534"/>
    <w:rsid w:val="4A4E6A63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A7498"/>
    <w:rsid w:val="533B7DA0"/>
    <w:rsid w:val="535B5D4C"/>
    <w:rsid w:val="540C5299"/>
    <w:rsid w:val="5689497F"/>
    <w:rsid w:val="572B3ADE"/>
    <w:rsid w:val="574D1E50"/>
    <w:rsid w:val="57653987"/>
    <w:rsid w:val="57A80A84"/>
    <w:rsid w:val="5915699E"/>
    <w:rsid w:val="59183927"/>
    <w:rsid w:val="59771406"/>
    <w:rsid w:val="5B174C4F"/>
    <w:rsid w:val="5B894874"/>
    <w:rsid w:val="5BD85FFE"/>
    <w:rsid w:val="5D37614A"/>
    <w:rsid w:val="5E1F278A"/>
    <w:rsid w:val="5E2A2EEB"/>
    <w:rsid w:val="5E2F6887"/>
    <w:rsid w:val="5E7D74BF"/>
    <w:rsid w:val="5FBE1B3D"/>
    <w:rsid w:val="5FFF727B"/>
    <w:rsid w:val="60824919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6996E60"/>
    <w:rsid w:val="6853425E"/>
    <w:rsid w:val="698C6808"/>
    <w:rsid w:val="6A132A85"/>
    <w:rsid w:val="6A7D49EA"/>
    <w:rsid w:val="6A9D0379"/>
    <w:rsid w:val="6AE04A73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1897624"/>
    <w:rsid w:val="72CB65F3"/>
    <w:rsid w:val="73233F21"/>
    <w:rsid w:val="73964DA9"/>
    <w:rsid w:val="7399224D"/>
    <w:rsid w:val="745A5E80"/>
    <w:rsid w:val="746D3645"/>
    <w:rsid w:val="75124773"/>
    <w:rsid w:val="756D3991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B34313"/>
    <w:rsid w:val="7BC6204D"/>
    <w:rsid w:val="7BED0C0D"/>
    <w:rsid w:val="7C0111EE"/>
    <w:rsid w:val="7CAB4D9F"/>
    <w:rsid w:val="7D162B61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5">
    <w:name w:val="Hyperlink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16">
    <w:name w:val="Body Text First Indent1"/>
    <w:basedOn w:val="3"/>
    <w:qFormat/>
    <w:uiPriority w:val="0"/>
    <w:pPr>
      <w:ind w:firstLine="420" w:firstLineChars="100"/>
    </w:pPr>
    <w:rPr>
      <w:rFonts w:eastAsia="宋体"/>
    </w:rPr>
  </w:style>
  <w:style w:type="paragraph" w:customStyle="1" w:styleId="17">
    <w:name w:val="普通(网站) Char"/>
    <w:basedOn w:val="1"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5573</Words>
  <Characters>5850</Characters>
  <Lines>22</Lines>
  <Paragraphs>6</Paragraphs>
  <TotalTime>3</TotalTime>
  <ScaleCrop>false</ScaleCrop>
  <LinksUpToDate>false</LinksUpToDate>
  <CharactersWithSpaces>5977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清墨</cp:lastModifiedBy>
  <cp:lastPrinted>2022-08-14T07:48:00Z</cp:lastPrinted>
  <dcterms:modified xsi:type="dcterms:W3CDTF">2025-06-20T09:55:49Z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9198D5D54F8C4A8A9E6B339689148FB9</vt:lpwstr>
  </property>
  <property fmtid="{D5CDD505-2E9C-101B-9397-08002B2CF9AE}" pid="4" name="KSOTemplateDocerSaveRecord">
    <vt:lpwstr>eyJoZGlkIjoiYjg1OTcxM2NiOGU0NGZjZDM4YzIwYjJhNTJiM2E0N2IiLCJ1c2VySWQiOiI3Mzg3MzgxNDEifQ==</vt:lpwstr>
  </property>
</Properties>
</file>