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王同伟委员：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您在市政协十二届三次会议期间所提的《关于促进创新型中小企业健康发展的提案》（政协提案81号）收悉。您在提案中提出支持中小企业管理创新和技术创新，构建产业集群及创新联盟，大力发展科技企业孵化网络，加强创新人才队伍建设等建议。对此，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深表赞同。经调查研究，现答复如下：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近年来，我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高度重视创新型中小企业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健康发展和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企业技术创新体系建设工作，坚持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引导企业加大研发投入，聚力科创领域改革突破，以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高精尖技术攻关引领企业创新发展。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一是做好顶层设计，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推动企业自主创新能力全面提升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"/>
        </w:rPr>
        <w:t>谋划制定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《温州市创新联合体建设三年行动计划（2022-2024年）》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《温州市构建生物医药产业生态圈三年行动计划（2022-2024年）》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《温州市打造“专精特新之城”行动方案（2023-2025年）》《关于开展高校毕业生招引“510计划”攻坚行动 助力“百万人才聚温州”的方案》等，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突出企业主体聚能作用，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引导链主企业探索更具高效的协同创新机制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推动打造“专精特新之城”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二是优化培育机制，打造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企业研发机构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雁阵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梯队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累计设立省级重点企业研究院、省级企业研究院、省级企业研发中心等企业研发机构共计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家，全市高新技术企业研发机构覆盖率已达98%以上；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精选150家左右企业建立专精特新“小巨人”种苗企业培育库。今年以来，已培育创新型中小企业126家，推荐申报省级专精特新中小企业322家，并启动第六批专精特新“小巨人”企业申报工作。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三是加强要素供给，推动科技企业培育走深走实。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目前，我市对新认定的高新技术企业奖励20万元，其中规上高新技术企业奖励30万元，对新认定的省级科技领军企业、科技小巨人企业，分别给予最高150万元、100万元奖励；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首次认定的国家级专精特新小巨人企业，给予100万元奖励；首次获评省级“隐形冠军”企业奖励50万元；首次获评省级专精特新中小企业奖励10万元；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督促指导各地及时完成政策兑现，今年市区已兑付高新技术企业奖励资金2800余万元、专精特新企业奖励资金2300余万元，有效提升了企业获得感、提振了企业发展信心。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四是强化人才引育，集聚一批青年人才来温创新创业。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从2018年至今，持续推出人才新政40条1.0版至4.0版。2020年出台了《关于开展高校毕业生招引“510计划”攻坚行动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助力“百万人才聚温州”的方案》，2022年持续推出“510+行动计划”，为全国优秀毕业生来温州就业创业提供了就业补贴、住房补贴、租房补贴、驿站补贴等相关优惠政策，吸引以本科和硕士为主体、博士为重点的青年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来温就业创业。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下步，我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将聚焦以下几个方面做好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创新型中小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企业培育工作，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赋能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制造业高质量发展。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进一步培育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创新主体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深入实施百家重点科技企业培育专项行动，为企业定制“科技服务包”，通过送政策服务包、指导材料申报、梳理研发计划、对接人才资本信息等形式为企业提供全方位的科技服务。实施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温州市打造“专精特新之城”三年行动方案》，完善动态培育机制，针对企业营收增速、研发占比、发明专利、产线智能化程度等指标，以创新型中小企业、省级专精特新中小企业、省级隐形冠军企业和国家级专精特新“小巨人”企业四个层次为架构的梯度培育体系逐渐成熟完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2.进一步优化要素供给。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探索加大政策供给力度，加大在用地用工、融资增信、服务纾困等方面的后续政策支持力度，对标先进地区完善政策储备，创新政策试点。排摸专精特新企业融资需求，开展产融对接活动，加强与省“专精特新”（温州）母基金运营方奥科基金的沟通，跟踪推进运行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期组织有技术需求的企业赴高能级创新平台开展院企合作交流活动，将服务企业力度作为高能级创新平台绩效考核的重要指标，畅通科技成果转化落地渠道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3.进一步深化助企服务。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进“中小微企业友好城市”建设，构建“六位一体”服务体系，实施“满天星”计划，完善构建“1+14+76”的市县乡三级企业服务体系，将企业服务平台从全市面上，推动到各镇街点上，打通助企服务“最后一公里”，全力推动中小微企业健康成长。指导各地充分发挥企业综合服务平台、各类优质服务机构的作用，邀请省级部门专家等来温为企业进行“面对面”辅导。组织开展专题研修班、培训辅导班，提升企业、县级部门对专精特新申报标准的认识，强化申报辅导的力度。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推广科技副总、科技轻骑队，凝练产业共性需求和企业真实需求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，提升精准服务企业水平。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4.进一步加强人才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招引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22"/>
        </w:rPr>
        <w:t>深入实施“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人才新政</w:t>
      </w:r>
      <w:r>
        <w:rPr>
          <w:rFonts w:ascii="Times New Roman" w:hAnsi="Times New Roman" w:eastAsia="仿宋_GB2312" w:cs="Times New Roman"/>
          <w:sz w:val="32"/>
          <w:szCs w:val="22"/>
        </w:rPr>
        <w:t>”4.0版，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聚焦</w:t>
      </w:r>
      <w:r>
        <w:rPr>
          <w:rFonts w:ascii="Times New Roman" w:hAnsi="Times New Roman" w:eastAsia="仿宋_GB2312" w:cs="Times New Roman"/>
          <w:sz w:val="32"/>
          <w:szCs w:val="22"/>
        </w:rPr>
        <w:t>全球顶尖人才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、</w:t>
      </w:r>
      <w:r>
        <w:rPr>
          <w:rFonts w:ascii="Times New Roman" w:hAnsi="Times New Roman" w:eastAsia="仿宋_GB2312" w:cs="Times New Roman"/>
          <w:sz w:val="32"/>
          <w:szCs w:val="22"/>
        </w:rPr>
        <w:t>科技领军人才、卓越工程师和青年科技人才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，</w:t>
      </w:r>
      <w:r>
        <w:rPr>
          <w:rFonts w:ascii="Times New Roman" w:hAnsi="Times New Roman" w:eastAsia="仿宋_GB2312" w:cs="Times New Roman"/>
          <w:sz w:val="32"/>
          <w:szCs w:val="22"/>
        </w:rPr>
        <w:t>扎实推进人才引育工作落实。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进一步完善全市人才库，将更多新一代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智能电气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新材料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数字经济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等产业领域的人才</w:t>
      </w:r>
      <w:r>
        <w:rPr>
          <w:rFonts w:ascii="Times New Roman" w:hAnsi="Times New Roman" w:eastAsia="仿宋_GB2312" w:cs="Times New Roman"/>
          <w:sz w:val="32"/>
          <w:szCs w:val="22"/>
        </w:rPr>
        <w:t>纳入人才库中。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依托新型研发机构引进全职院士、“鲲鹏计划”等高端人才，建设科技人才发展信息库，支持人才在高校、平台和企业中自由流动。为科技人才搭建施展才华舞台，在新型研发机构月报设置人才引进指标、大孵化器集群考核中新增创新创业青年人才指标，支持青年科技人才在市级重大项目中“当主角”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Lines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最后，感谢您对科技创新工作的支持。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联系人：陈嘉豪，联系电话：88962099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2"/>
        <w:rPr>
          <w:rFonts w:hint="default"/>
        </w:rPr>
      </w:pPr>
    </w:p>
    <w:p>
      <w:pPr>
        <w:pStyle w:val="1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rPr>
          <w:rFonts w:hint="default"/>
        </w:rPr>
      </w:pPr>
    </w:p>
    <w:p>
      <w:pPr>
        <w:pStyle w:val="1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88CD3"/>
    <w:multiLevelType w:val="multilevel"/>
    <w:tmpl w:val="D3188CD3"/>
    <w:lvl w:ilvl="0" w:tentative="0">
      <w:start w:val="1"/>
      <w:numFmt w:val="chineseCounting"/>
      <w:pStyle w:val="4"/>
      <w:suff w:val="nothing"/>
      <w:lvlText w:val="%1、"/>
      <w:lvlJc w:val="left"/>
      <w:pPr>
        <w:ind w:left="554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554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554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55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554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554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554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554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554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46D44C3"/>
    <w:rsid w:val="04CD385C"/>
    <w:rsid w:val="05340028"/>
    <w:rsid w:val="055C757F"/>
    <w:rsid w:val="05EC0669"/>
    <w:rsid w:val="071C5217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BD22349"/>
    <w:rsid w:val="0C367F2E"/>
    <w:rsid w:val="0C9D2956"/>
    <w:rsid w:val="0C9F11B1"/>
    <w:rsid w:val="0CC71781"/>
    <w:rsid w:val="0D4015BB"/>
    <w:rsid w:val="0DFB5AE7"/>
    <w:rsid w:val="0E39220B"/>
    <w:rsid w:val="0FE8038D"/>
    <w:rsid w:val="122D02D9"/>
    <w:rsid w:val="13CA639A"/>
    <w:rsid w:val="158741A4"/>
    <w:rsid w:val="16273595"/>
    <w:rsid w:val="16474315"/>
    <w:rsid w:val="177054E1"/>
    <w:rsid w:val="18622D1B"/>
    <w:rsid w:val="18996DF2"/>
    <w:rsid w:val="19F33BB6"/>
    <w:rsid w:val="1A6C6674"/>
    <w:rsid w:val="1AB62E35"/>
    <w:rsid w:val="1AE71241"/>
    <w:rsid w:val="1BAD0E38"/>
    <w:rsid w:val="1C033E58"/>
    <w:rsid w:val="1C4050AC"/>
    <w:rsid w:val="1C7C37C2"/>
    <w:rsid w:val="1CDA4151"/>
    <w:rsid w:val="1E852174"/>
    <w:rsid w:val="1F132FD3"/>
    <w:rsid w:val="1F312EBF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4E46F1D"/>
    <w:rsid w:val="264F669A"/>
    <w:rsid w:val="26527EB6"/>
    <w:rsid w:val="269366F1"/>
    <w:rsid w:val="27E40FE2"/>
    <w:rsid w:val="27EB2370"/>
    <w:rsid w:val="29752839"/>
    <w:rsid w:val="29EB53B1"/>
    <w:rsid w:val="2AF13271"/>
    <w:rsid w:val="2B591CE7"/>
    <w:rsid w:val="2B7B5D32"/>
    <w:rsid w:val="2BE05F64"/>
    <w:rsid w:val="2C4E620E"/>
    <w:rsid w:val="2CD12D0B"/>
    <w:rsid w:val="2D556877"/>
    <w:rsid w:val="2D7C73DC"/>
    <w:rsid w:val="2D917516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6BE2FFB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4E93C84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9B1982"/>
    <w:rsid w:val="51BD627C"/>
    <w:rsid w:val="51D501DA"/>
    <w:rsid w:val="52940405"/>
    <w:rsid w:val="52CA50F4"/>
    <w:rsid w:val="53016EFE"/>
    <w:rsid w:val="533B7DA0"/>
    <w:rsid w:val="535B5D4C"/>
    <w:rsid w:val="540C5299"/>
    <w:rsid w:val="5689497F"/>
    <w:rsid w:val="572B3ADE"/>
    <w:rsid w:val="57653987"/>
    <w:rsid w:val="57A80A84"/>
    <w:rsid w:val="5915699E"/>
    <w:rsid w:val="59771406"/>
    <w:rsid w:val="5BD85FFE"/>
    <w:rsid w:val="5D37614A"/>
    <w:rsid w:val="5E1F278A"/>
    <w:rsid w:val="5E2A2EEB"/>
    <w:rsid w:val="5E2F6887"/>
    <w:rsid w:val="5FBE1B3D"/>
    <w:rsid w:val="5FFF727B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853425E"/>
    <w:rsid w:val="698C6808"/>
    <w:rsid w:val="6A132A85"/>
    <w:rsid w:val="6A7D49EA"/>
    <w:rsid w:val="6A9D0379"/>
    <w:rsid w:val="6AAA163C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2CB65F3"/>
    <w:rsid w:val="73964DA9"/>
    <w:rsid w:val="745A5E80"/>
    <w:rsid w:val="75124773"/>
    <w:rsid w:val="75AA24FD"/>
    <w:rsid w:val="75F06371"/>
    <w:rsid w:val="76164029"/>
    <w:rsid w:val="76466A88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43141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numPr>
        <w:ilvl w:val="0"/>
        <w:numId w:val="1"/>
      </w:numPr>
      <w:spacing w:line="560" w:lineRule="exact"/>
      <w:ind w:left="0" w:firstLine="643" w:firstLineChars="200"/>
      <w:jc w:val="left"/>
      <w:outlineLvl w:val="0"/>
    </w:pPr>
    <w:rPr>
      <w:rFonts w:ascii="Garamond" w:hAnsi="Garamond" w:eastAsia="黑体" w:cs="宋体"/>
      <w:bCs/>
      <w:color w:val="000000"/>
      <w:kern w:val="36"/>
      <w:sz w:val="32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autoRedefine/>
    <w:qFormat/>
    <w:uiPriority w:val="0"/>
    <w:pPr>
      <w:ind w:firstLine="567"/>
    </w:pPr>
    <w:rPr>
      <w:rFonts w:ascii="Calibri" w:hAnsi="Calibri"/>
      <w:szCs w:val="21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paragraph" w:customStyle="1" w:styleId="15">
    <w:name w:val="正文文本首行缩进1"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customStyle="1" w:styleId="16">
    <w:name w:val="Body Text First Indent1"/>
    <w:basedOn w:val="3"/>
    <w:autoRedefine/>
    <w:qFormat/>
    <w:uiPriority w:val="0"/>
    <w:pPr>
      <w:ind w:firstLine="420" w:firstLineChars="100"/>
    </w:pPr>
    <w:rPr>
      <w:rFonts w:eastAsia="宋体"/>
    </w:rPr>
  </w:style>
  <w:style w:type="paragraph" w:customStyle="1" w:styleId="17">
    <w:name w:val="普通(网站) Char"/>
    <w:basedOn w:val="1"/>
    <w:autoRedefine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正文首行缩进1"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2049</Words>
  <Characters>2172</Characters>
  <Lines>22</Lines>
  <Paragraphs>6</Paragraphs>
  <TotalTime>3</TotalTime>
  <ScaleCrop>false</ScaleCrop>
  <LinksUpToDate>false</LinksUpToDate>
  <CharactersWithSpaces>2274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2024-07-02T08:09:09Z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