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73" w:rsidRDefault="00DE1473" w:rsidP="00DE1473">
      <w:pPr>
        <w:widowControl/>
        <w:spacing w:line="560" w:lineRule="exact"/>
        <w:jc w:val="center"/>
        <w:rPr>
          <w:rFonts w:ascii="Times New Roman" w:hAnsi="Times New Roman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  <w:shd w:val="clear" w:color="auto" w:fill="FFFFFF"/>
          <w:lang/>
        </w:rPr>
        <w:t>入驻企业考核细则</w:t>
      </w:r>
    </w:p>
    <w:p w:rsidR="00DE1473" w:rsidRDefault="00DE1473" w:rsidP="00DE1473">
      <w:pPr>
        <w:jc w:val="right"/>
        <w:rPr>
          <w:rFonts w:ascii="Times New Roman" w:eastAsia="仿宋" w:hAnsi="Times New Roman"/>
          <w:b/>
          <w:kern w:val="0"/>
          <w:szCs w:val="21"/>
          <w:shd w:val="clear" w:color="auto" w:fill="FFFFFF"/>
          <w:lang/>
        </w:rPr>
      </w:pPr>
    </w:p>
    <w:tbl>
      <w:tblPr>
        <w:tblW w:w="9033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1617"/>
        <w:gridCol w:w="5293"/>
        <w:gridCol w:w="825"/>
      </w:tblGrid>
      <w:tr w:rsidR="00DE1473" w:rsidTr="004E7FB9">
        <w:trPr>
          <w:trHeight w:val="52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  <w:lang/>
              </w:rPr>
              <w:t>考核内容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  <w:lang/>
              </w:rPr>
              <w:t>具体指标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  <w:lang/>
              </w:rPr>
              <w:t>打分标准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  <w:lang/>
              </w:rPr>
              <w:t>基准分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一、企业运行（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营业收入</w:t>
            </w:r>
          </w:p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（折算成全年）</w:t>
            </w:r>
          </w:p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企业营业收入达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200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万元以上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万元（含）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-200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万元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万元（含）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-100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万元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万元（含）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-50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万元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万元以下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二、研发能力（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分）</w:t>
            </w:r>
          </w:p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知识产权情况</w:t>
            </w:r>
          </w:p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考核期内授权发明专利或实质审查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考核期内授权其它知识产权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项或申请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考核期内授权其它知识产权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项或申请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考核期内授权其它知识产权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项或申请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项及以上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未申报专利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科技人员队伍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4"/>
                <w:szCs w:val="21"/>
              </w:rPr>
              <w:t>本科学历（含）以上或中级职称（含）以上人员占员工比例超过</w:t>
            </w:r>
            <w:r>
              <w:rPr>
                <w:rFonts w:ascii="Times New Roman" w:hAnsi="Times New Roman"/>
                <w:spacing w:val="-4"/>
                <w:szCs w:val="21"/>
              </w:rPr>
              <w:t>80%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ascii="Times New Roman" w:hAnsi="Times New Roman"/>
                <w:spacing w:val="-4"/>
                <w:szCs w:val="21"/>
              </w:rPr>
              <w:t>本科学历（含）以上或中级职称（含）以上人员占员工比例</w:t>
            </w:r>
            <w:r>
              <w:rPr>
                <w:rFonts w:ascii="Times New Roman" w:hAnsi="Times New Roman"/>
                <w:spacing w:val="-4"/>
                <w:szCs w:val="21"/>
              </w:rPr>
              <w:t>50%-80%</w:t>
            </w:r>
            <w:r>
              <w:rPr>
                <w:rFonts w:ascii="Times New Roman" w:hAnsi="Times New Roman"/>
                <w:spacing w:val="-4"/>
                <w:szCs w:val="21"/>
              </w:rPr>
              <w:t>（含）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pacing w:val="-8"/>
                <w:szCs w:val="21"/>
              </w:rPr>
            </w:pPr>
            <w:r>
              <w:rPr>
                <w:rFonts w:ascii="Times New Roman" w:hAnsi="Times New Roman"/>
                <w:spacing w:val="-4"/>
                <w:szCs w:val="21"/>
              </w:rPr>
              <w:t>本科学历（含）以上或中级职称（含）以上人员占员工比例</w:t>
            </w:r>
            <w:r>
              <w:rPr>
                <w:rFonts w:ascii="Times New Roman" w:hAnsi="Times New Roman"/>
                <w:spacing w:val="-4"/>
                <w:szCs w:val="21"/>
              </w:rPr>
              <w:t>50%</w:t>
            </w:r>
            <w:r>
              <w:rPr>
                <w:rFonts w:ascii="Times New Roman" w:hAnsi="Times New Roman"/>
                <w:spacing w:val="-4"/>
                <w:szCs w:val="21"/>
              </w:rPr>
              <w:t>（含）以下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团队素质</w:t>
            </w:r>
          </w:p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博士、留学人员或高级职称人员领衔创业；或研发队伍中有博士、留学人员或高级职称人员并能到位开展工作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硕士、学士或中级职称人员领衔创业；或研发队伍中有硕士、学士或中级职称人员并能到位开展工作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本科学历人员领衔创业；或研发队伍中有本科学历人员并能到位开展工作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90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其它人员领衔创业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三、技术水平及发展潜力（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持续发展能力</w:t>
            </w:r>
          </w:p>
          <w:p w:rsidR="00DE1473" w:rsidRDefault="00DE1473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项目有显著研发进展或推出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个以上新产品或有多个新项目立项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项目有一定研发进展或推出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1-2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个（含）新产品或有新项目立项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持续发展能力一般，无研发进度或产品开发存在困难或无新项目立项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6.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项目或产品市场前景</w:t>
            </w:r>
          </w:p>
          <w:p w:rsidR="00DE1473" w:rsidRDefault="00DE1473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市场前景良好，项目有实质进展或已有合同订单或有合作协议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市场前景较好，暂处于研发测试阶段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市场前景不明朗，项目无实质进展或无合同订单及合作协议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7.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融资能力</w:t>
            </w:r>
          </w:p>
          <w:p w:rsidR="00DE1473" w:rsidRDefault="00DE1473" w:rsidP="004E7FB9">
            <w:pPr>
              <w:widowControl/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融资能力强，达成相关融资协议，企业发展资金有保障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融资能力较强，已达成相关融资意向，资金不影响当前企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lastRenderedPageBreak/>
              <w:t>业发展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lastRenderedPageBreak/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存在资金瓶颈制约，尚未找到融资渠道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四、企业管理（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40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8.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管理制度建设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企业管理制度健全，财务管理规范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企业管理制度基本健全，财务管理较为规范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3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企业管理制度不健全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9.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园区活动参与情况</w:t>
            </w:r>
          </w:p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出席率达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80%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以上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出席率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50%-80%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（含）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出席率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50%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以下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园区制度落实情况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执行情况较好的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执行情况一般的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执行情况较差的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11.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参加创新创业赛事情况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 xml:space="preserve"> 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积极参加的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不参加的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12.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信息报送情况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主动提交各类考核、审查报表及其他重要工作信息等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6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从未提交的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196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13.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吸纳应届毕业生就业情况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ascii="Times New Roman" w:hAnsi="Times New Roman"/>
                <w:spacing w:val="-4"/>
                <w:szCs w:val="21"/>
              </w:rPr>
              <w:t>吸纳应届毕业生的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196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spacing w:line="300" w:lineRule="exact"/>
              <w:ind w:leftChars="50" w:left="105"/>
              <w:jc w:val="left"/>
              <w:rPr>
                <w:rFonts w:ascii="Times New Roman" w:hAnsi="Times New Roman"/>
                <w:spacing w:val="-8"/>
                <w:szCs w:val="21"/>
              </w:rPr>
            </w:pPr>
            <w:r>
              <w:rPr>
                <w:rFonts w:ascii="Times New Roman" w:hAnsi="Times New Roman"/>
                <w:spacing w:val="-4"/>
                <w:szCs w:val="21"/>
              </w:rPr>
              <w:t>没有吸纳应届毕业生的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五、加分项（本项最高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40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分）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14.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取得高新技术企业称号加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分，获得省科技型中小企业称号加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15.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协助园区或以园区名义举办有影响力的活动。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16.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考核期内企业或企业核心成员荣获县区级荣誉加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分，温州市级荣誉加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8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分，省级及以上荣誉加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17.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获批国家、省、市、县级科研项目立项分别加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8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6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分、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4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分，最高加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  <w:tr w:rsidR="00DE1473" w:rsidTr="004E7FB9">
        <w:trPr>
          <w:trHeight w:val="369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00" w:lineRule="exact"/>
              <w:ind w:leftChars="50" w:left="105"/>
              <w:jc w:val="left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18.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自主或与高校、企业合作建设研发中心。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73" w:rsidRDefault="00DE1473" w:rsidP="004E7FB9">
            <w:pPr>
              <w:widowControl/>
              <w:spacing w:line="360" w:lineRule="exact"/>
              <w:ind w:leftChars="50" w:left="105"/>
              <w:jc w:val="center"/>
              <w:rPr>
                <w:rFonts w:ascii="Times New Roman" w:hAnsi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Cs w:val="21"/>
                <w:lang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/>
              </w:rPr>
              <w:t>分</w:t>
            </w:r>
          </w:p>
        </w:tc>
      </w:tr>
    </w:tbl>
    <w:p w:rsidR="00DE1473" w:rsidRDefault="00DE1473" w:rsidP="00DE1473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  <w:shd w:val="clear" w:color="auto" w:fill="FFFFFF"/>
          <w:lang/>
        </w:rPr>
      </w:pPr>
    </w:p>
    <w:p w:rsidR="004A2594" w:rsidRDefault="004A2594"/>
    <w:sectPr w:rsidR="004A2594" w:rsidSect="004A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473"/>
    <w:rsid w:val="000613E5"/>
    <w:rsid w:val="004A2594"/>
    <w:rsid w:val="007A2298"/>
    <w:rsid w:val="00DE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14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DE147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DE147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jinjing</dc:creator>
  <cp:lastModifiedBy>jinjing</cp:lastModifiedBy>
  <cp:revision>1</cp:revision>
  <dcterms:created xsi:type="dcterms:W3CDTF">2021-04-21T01:59:00Z</dcterms:created>
  <dcterms:modified xsi:type="dcterms:W3CDTF">2021-04-21T02:00:00Z</dcterms:modified>
</cp:coreProperties>
</file>