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95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关于市十四届人大四次会议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393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黄钦鑫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您在市十四届人大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次会议期间所提的《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关于支持龙港市参照山区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26县申报浙江省科技特派团试点县的建议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》（人大建议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393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号）收悉。您在建议中提出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支持龙港市参照山区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26县申报浙江省科技特派团试点县，我局认为具有很强的建设性意义，将在下一步工作中吸收采纳，现答复如下：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近年来，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我局深入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贯彻习近平总书记关于推进科技特派员制度的重要指示精神，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落实科技部《推动高质量发展建设共同富裕示范区科技创新行动方案》（国科发区〔2022〕13号）、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省科技厅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《聚焦山区26县“一县一业”高质量发展实施科技特派团试点工作方案》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《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浙江省科学技术关于组织申报第三批科技特派试点的通知》等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文件精神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持续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发挥科技特派团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集聚科创资源、服务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传统产业基础再造和产业链提升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作用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，加快打造现代产业集群体系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。截至目前，已推动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平阳、永嘉、苍南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先后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省科技特派团试点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，并指导龙港立足发展实际，不断完善《龙港市科技特派团实施方案（2025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2027年）》（以下简称方案），于今年五月份正式上报至省科技厅。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《方案》提出围绕“智造龙港”总目标，全力推进创新龙港建设。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聚焦龙港印刷包装、新材料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、智能制造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等主导产业，依托省内优势高校、科研院所和链主企业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，设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印刷包装帮扶组、新材料帮扶组、智能制造帮扶组3个工作组，开展科技特派团试点工作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。到2027年，力争实现全社会R&amp;D经费支出占地区生产总值的比重达2.15%，规上工业企业R&amp;D经费支出占营业收入的比重达到3.2%；技术交易总额年均增速达到20%以上；高新技术产业增加值达到35亿元，占规上工业增加值比重达50%以上，高新技术产业投资年均增速达到12%以上等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下一步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，我局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将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密切关注龙港市省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科技特派团试点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申报进展，持续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引导创新要素向龙港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集聚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，加快创新主体培育，提升创新平台能级，推动关键技术协同攻关，加速科技成果转化和产业化，超常规推动龙港实现共同富裕。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将重点做好以下工作。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CN" w:bidi="ar"/>
        </w:rPr>
        <w:t>（一）做好顶层设计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bidi="ar"/>
        </w:rPr>
        <w:t>，深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Hans" w:bidi="ar"/>
        </w:rPr>
        <w:t>谋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bidi="ar"/>
        </w:rPr>
        <w:t>产业发展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规划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bidi="ar"/>
        </w:rPr>
        <w:t>路径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bidi="ar"/>
        </w:rPr>
        <w:t>发挥特派团战略咨询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Hans" w:bidi="ar"/>
        </w:rPr>
        <w:t>作用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bidi="ar"/>
        </w:rPr>
        <w:t>科研学术优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势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bidi="ar"/>
        </w:rPr>
        <w:t>，重点围绕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印刷包装、新材料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Hans" w:bidi="ar"/>
        </w:rPr>
        <w:t>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产业，开展产业高质量发展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Hans" w:bidi="ar"/>
        </w:rPr>
        <w:t>软课题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研究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高起点、高标准、高要求做好产业发展规划，帮助出台产业发展政策，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bidi="ar"/>
        </w:rPr>
        <w:t>为产业的持续、稳定及高质量发展铺平道路。建立科技特派团常态运行、总结交流机制，按照开展科技服务“一月一下沉”、产业需求“一月一例会”、服务情况“一季一交流”、服务成效“一年一总结”的要求，压实科技特派团成员分工职责，提高特派团成员的问题解决能力与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CN" w:bidi="ar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CN" w:bidi="ar"/>
        </w:rPr>
        <w:t>发挥专家</w:t>
      </w: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bidi="ar"/>
        </w:rPr>
        <w:t>优势，协同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eastAsia="zh-CN" w:bidi="ar"/>
        </w:rPr>
        <w:t>开展</w:t>
      </w: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bidi="ar"/>
        </w:rPr>
        <w:t>核心技术攻关。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产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业攻关需求征集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凝炼、实施、转化等全流程科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研攻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关帮扶，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Hans"/>
        </w:rPr>
        <w:t>动态迭代更新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关键核心技术重点项目库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。每年开展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Hans"/>
        </w:rPr>
        <w:t>“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揭榜挂帅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重大科技项目攻关，围绕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eastAsia="zh-Hans" w:bidi="ar"/>
        </w:rPr>
        <w:t>印刷包装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"/>
        </w:rPr>
        <w:t>新材料、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bidi="ar"/>
        </w:rPr>
        <w:t>智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bidi="ar"/>
        </w:rPr>
        <w:t>能制造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 w:bidi="ar"/>
        </w:rPr>
        <w:t>等技术领域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突破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批关键、共性、核心技术。大力推广“龙头企业+科研院所”创新联合体模式，联合高等院校、科研院所、高层次人才，以及龙港本土龙头企业、产业链上下游企业组建创新联合体，开展关键协同技术攻关，带动一批新装备、新技术、新产品的开发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40" w:lineRule="exact"/>
        <w:ind w:left="214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Hans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（三）集聚创新资源，提升创新平台服务能力。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依托科技特派团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持续提升数字经济科创中心、科技孵化器、印艺特色小镇、印刷产业服务综合体等创新平台的服务能力，提升平台能级，并全力提升省级高新技术产业园区的创新引领力，持续发挥青科会龙港分会的带动效应。深化与科研院校的合作关系，推动浙江理工大学龙港研究院、北京印刷学院龙港研究院、浙江金田高分子材料研究院等高能级科创平台提能造峰。构建科技特派团大孵化集群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鼓励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省科技特派团成员引入相关企业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（项目）到温孵化，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推动一批高校院所的重大科技成果产业化项目落地。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强化引育并举</w:t>
      </w: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打造创新人才汇聚高地</w:t>
      </w:r>
      <w:r>
        <w:rPr>
          <w:rFonts w:hint="default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以组建和打造一批企业“尖兵团队”和“领雁团队”为核心任务，形成以才引才、以才聚才的抱团效应。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加强与知名高校、科研院所的合作，促进产学研人才的交流与合作。通过专家讲座、研讨会、技术培训等形式，加强产业内外人才交流，提升本地人才的创新能力和眼界。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围绕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印刷包装和新材料产业发展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的人才需求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依托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科技特派团专家资源，实施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“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以才引才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”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战略，广泛吸引海内外高层次人才、领军型创新创业团队及海外工程师。以创新引人才、以政策育人才，以产业留人才，全方位推动人才队伍建设。积极探索产、学、研深度融合的人才培养模式，助力引进领军人才和创新团队，构建健全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“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人才引育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科技研发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成果转化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Hans" w:bidi="ar"/>
        </w:rPr>
        <w:t>”的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"/>
        </w:rPr>
        <w:t>创新创业生态链。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最后，感谢您对科技创新工作的支持。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联系人：项秋霞，联系电话：88962072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after="0" w:line="55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抄送：市人大常委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会代表工委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，市府办，龙港市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人大常委会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WIyMDM4ODBiMGQxZjMyOGRiZTRmZDI5NzU3NDE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E39220B"/>
    <w:rsid w:val="122D02D9"/>
    <w:rsid w:val="13CA639A"/>
    <w:rsid w:val="158741A4"/>
    <w:rsid w:val="16273595"/>
    <w:rsid w:val="177054E1"/>
    <w:rsid w:val="18622D1B"/>
    <w:rsid w:val="18996DF2"/>
    <w:rsid w:val="19F33BB6"/>
    <w:rsid w:val="1A6C6674"/>
    <w:rsid w:val="1AB62E35"/>
    <w:rsid w:val="1AE71241"/>
    <w:rsid w:val="1C033E58"/>
    <w:rsid w:val="1C4050AC"/>
    <w:rsid w:val="1C7C37C2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527EB6"/>
    <w:rsid w:val="269366F1"/>
    <w:rsid w:val="27E40FE2"/>
    <w:rsid w:val="27EB2370"/>
    <w:rsid w:val="29EB53B1"/>
    <w:rsid w:val="2AF13271"/>
    <w:rsid w:val="2B7B5D32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7B7E30"/>
    <w:rsid w:val="31975317"/>
    <w:rsid w:val="32667DA6"/>
    <w:rsid w:val="332B3F69"/>
    <w:rsid w:val="343B01DB"/>
    <w:rsid w:val="34692F9B"/>
    <w:rsid w:val="3470617C"/>
    <w:rsid w:val="34A55F9D"/>
    <w:rsid w:val="35C0308E"/>
    <w:rsid w:val="35D97CAC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28240EF"/>
    <w:rsid w:val="43313794"/>
    <w:rsid w:val="43B34232"/>
    <w:rsid w:val="43D81D74"/>
    <w:rsid w:val="44531571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B7DA0"/>
    <w:rsid w:val="535B5D4C"/>
    <w:rsid w:val="540C5299"/>
    <w:rsid w:val="572B3ADE"/>
    <w:rsid w:val="57653987"/>
    <w:rsid w:val="57A80A84"/>
    <w:rsid w:val="5915699E"/>
    <w:rsid w:val="59771406"/>
    <w:rsid w:val="5BD85FFE"/>
    <w:rsid w:val="5D37614A"/>
    <w:rsid w:val="5E1F278A"/>
    <w:rsid w:val="5E2A2EEB"/>
    <w:rsid w:val="5E2F6887"/>
    <w:rsid w:val="5FBE1B3D"/>
    <w:rsid w:val="5FFF727B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2CB65F3"/>
    <w:rsid w:val="73964DA9"/>
    <w:rsid w:val="745A5E80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5"/>
    <w:next w:val="10"/>
    <w:unhideWhenUsed/>
    <w:qFormat/>
    <w:uiPriority w:val="99"/>
    <w:pPr>
      <w:ind w:firstLine="420" w:firstLineChars="100"/>
    </w:pPr>
  </w:style>
  <w:style w:type="paragraph" w:customStyle="1" w:styleId="15">
    <w:name w:val="Body Text First Indent1"/>
    <w:basedOn w:val="5"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1896</Words>
  <Characters>1946</Characters>
  <Lines>22</Lines>
  <Paragraphs>6</Paragraphs>
  <TotalTime>1</TotalTime>
  <ScaleCrop>false</ScaleCrop>
  <LinksUpToDate>false</LinksUpToDate>
  <CharactersWithSpaces>2062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......</cp:lastModifiedBy>
  <cp:lastPrinted>2022-08-14T07:48:00Z</cp:lastPrinted>
  <dcterms:modified xsi:type="dcterms:W3CDTF">2024-06-27T02:18:48Z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9198D5D54F8C4A8A9E6B339689148FB9</vt:lpwstr>
  </property>
</Properties>
</file>