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126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395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民盟市委会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您在市政协十二届三次会议期间所提的《关于推进中国眼谷、基因药谷建设 助力温州生物医药创新发展的提案》（政协提案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395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号）收悉。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提案立足于中国眼谷、中国基因药谷建设，指出目前生物医药产业还存在科创基础薄弱、成果转化欠缺、区位优势不足等问题，并提出发挥细分领域和温商优势、建立概念验证机制、加快在温高校成果转化等建议。我局高度重视，在汇总龙湾区政府、瓯海区政府、市教育局会办意见的基础上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认真调查研究，现答复如下：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2023年，全市生命健康产业实现总营收1588亿元；全年规上制造业产值531.7亿元，增速11.3%；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拥有生命健康规上制造业企业486家，规上服务业企业147家。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一是坚持“战略眼光”，顶层支持优势逐步显现。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我市目前已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印发《温州市生命健康产业高质量发展规划（2023—2027）》，重点从产业发展重点、空间布局、主要任务、保障措施等方面对我市生命健康产业进行规划指导；已出台《温州市促进眼健康产业聚集发展若干政策》，重点从研发创新、引进培育、优化生态环境三方面对眼健康发展加大了支持力度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二是紧抓“核心特色”，产业空间优势逐步显现。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中国眼谷以打造全球眼健康“硅谷”为目标，发展眼视光装备、视觉光学、眼用材料、眼科药物、智慧医疗、商务总部六大方向。目前已获批国家级平台6个，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引进注册企业2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其中56家是世界500强或上市及头部企业。已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"/>
        </w:rPr>
        <w:t>与联东集团、京东方等头部企业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深入开展协同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"/>
        </w:rPr>
        <w:t>合作，通过合资运营、项目合作等方式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招引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"/>
        </w:rPr>
        <w:t>联东U谷生命健康智造产业园、京东方艺云视觉健康中心等重点项目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。连续多年成功举办Vision China大会，高标准完成长三角座谈会筹备工作。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中国基因药谷以建设全国单体规模最大生物药谷为目标，发展大分子药物、医疗器械、数字医疗三大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方向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目前已获批国家级平台3个，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引育生态企业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家，其中500强3家、行业百强超10家，到位融资总额超5亿，在研新药、器械管线超170个（药品批件65个、器械批件105个），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落地全市首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个CDMO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生产基地，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产业规模突破200亿大关。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维眸生物新药VVN001正式启动III期临床试验，获批全市首个生长因子类创新药临床批件并进入II期临床试验。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三是聚焦“核心攻关”，科技成果优势逐步显现。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近年来，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我市高度重视财政支持科研经费投入，持续加大科技攻关等项目的扶持力度。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截至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2023年，支持眼健康领域重大科技攻关项目和基础性科研项目立项，总计86项，补助经费达526万元。支持创新药领域重大科技创新攻关项目和基础性科研项目立项58项，补助经费达764万元。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今年共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凝练和发布43项生命健康产业需求榜单，其中14项为成果转化产业化项目，通过“揭榜挂帅”的形式促进成果转化。今年，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温州医科大学李校堃院士领衔申报的“生长因子FGFs调控糖脂代谢新功能与新机制”项目获评“国家自然科学奖二等奖”。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四是创新“要素保障”，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成果转化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优势逐步显现。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我市布局的“拨投联动”模式有效破解了资金来源单一的难题。一方面，通过规定项目团队实缴出资、社会资本投入等条件，充分发挥了财政资金的撬动作用；另一方面，如项目落地转化，财政投入按照“适当收益”原则逐步退出，还可滚动做大专项资金池。为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highlight w:val="none"/>
          <w:lang w:eastAsia="zh-CN"/>
        </w:rPr>
        <w:t>更好发掘早期科技成果商业价值，进一步促进科技成果高质量转化，推进传统产业升级，推动新质生产力加快发展，我市已出台《温州市概念验证中心和中试平台建设指引（试行）》，为全市概念验证中心建设提供指导。目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药谷依托上海大学温州研究院，已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打造全市首个概念验证中心。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是厚植“肥沃土壤”，创新生态优势逐步显现。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已成功举办两届“中国眼谷创新技术产品推介会”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，眼谷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入驻企业向全国286家温州商会“亮出”最新创新研发成果，全面展示眼谷产品、产业，让更多的温商了解眼谷，共同奔赴眼科黄金赛道。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举办2023中国（温州）创投大会生命健康专场，以“百支基金对接百项成果落地温州”路演等形式推动科技创新成果和金融资本实现双向奔赴。成功举办第八届中国特殊食品大会，围绕审评注册等展开分享，吸引国内外特殊食品头部企业、院士专家等嘉宾1800余人参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产业影响力逐步扩大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下一步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，我们将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以“两谷”引领带动产业发展、以平台合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作助推产业发展、以成果转化支撑产业发展，确保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全市实现生命健康产业总营收1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00亿元以上，规上制造业产值实现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80亿元以上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增速超10%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一是强化政策保障。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谋划出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台《温州市促进生命健康产业集聚发展若干政策》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（暂定名，药谷专项支持政策）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重点在原《温州市促进生物医药产业创新发展若干政策措施》基础上，提高对医药企业研发创新的奖励额度，拟新增关于市场拓展、优化环境和批件转移方面的奖补条款，在人才、项目、税收等方面给予倾斜性支持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是推进特色发展。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眼谷建设“更亮更热”，加速眼视光技术成果转化应用，眼健康产业集聚发展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，全力打造全球眼健康“硅谷”。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力争今年眼谷新增科技、总部企业50家，招引亿元产业项目10个，投用国家工程技术研究中心和国家药监局重点实验室，注册II类医疗器械5个，申报III类医疗器械3个。推进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药谷建设“更新更高”，创新药物长效布局，生物医药产值营收稳步提高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，全力建设全国单体规模最大生物药谷。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力争今年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药谷集聚生物医药、医疗器械创新研发企业等20家以上，注册II类医疗器械13个、III类医疗器械4个，进入临床试验药品1种。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三是强化资金保障。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印发《温州市“拨投联动”支持高能级科创平台发展加速培育新质生产力工作指引（试行）》，制定市本级“拨投联动”实施方案，进一步明确实施范围等内容。面向全市开展排摸和征集，建立“拨投联动”项目储备库，全面启动2024年“拨投联动”工作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四是推动成果转化。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启动2024年概念验证中心申报和备案工作，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有条件的新型研发机构建设概念验证中心，推动温州眼视光概念验证中心尽快落地眼谷、指导应急救援医疗概念验证中心落地药谷。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五是扩大产业影响。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紧抓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“长三角一体化座谈会”展示契机，利用好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我市生命健康产业优惠支持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充分发挥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眼谷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、药谷等优势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加大与在外温商沟通合作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壮大产业规模，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提升产业影响力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最后，再次感谢民盟市委会一直以来对全市科技创新及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健康领域工作的关心和支持！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章旭日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，联系电话：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0577-88962033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2"/>
        <w:rPr>
          <w:rFonts w:hint="default"/>
        </w:rPr>
      </w:pPr>
    </w:p>
    <w:p>
      <w:pPr>
        <w:pStyle w:val="1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71C5217"/>
    <w:rsid w:val="08A47272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9F11B1"/>
    <w:rsid w:val="0CC71781"/>
    <w:rsid w:val="0D4015BB"/>
    <w:rsid w:val="0DB22432"/>
    <w:rsid w:val="0E2A564C"/>
    <w:rsid w:val="0E39220B"/>
    <w:rsid w:val="122D02D9"/>
    <w:rsid w:val="13CA639A"/>
    <w:rsid w:val="13FA41EA"/>
    <w:rsid w:val="158741A4"/>
    <w:rsid w:val="15DE18EA"/>
    <w:rsid w:val="16273595"/>
    <w:rsid w:val="177054E1"/>
    <w:rsid w:val="18622D1B"/>
    <w:rsid w:val="18996DF2"/>
    <w:rsid w:val="19F33BB6"/>
    <w:rsid w:val="1A473F02"/>
    <w:rsid w:val="1A6C6674"/>
    <w:rsid w:val="1AB62E35"/>
    <w:rsid w:val="1AE71241"/>
    <w:rsid w:val="1B8076CB"/>
    <w:rsid w:val="1C033E58"/>
    <w:rsid w:val="1C4050AC"/>
    <w:rsid w:val="1C7C37C2"/>
    <w:rsid w:val="1CDA4151"/>
    <w:rsid w:val="1DA578BD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3A83C63"/>
    <w:rsid w:val="24E46F1D"/>
    <w:rsid w:val="264F669A"/>
    <w:rsid w:val="26527EB6"/>
    <w:rsid w:val="269366F1"/>
    <w:rsid w:val="27E40FE2"/>
    <w:rsid w:val="27EB2370"/>
    <w:rsid w:val="28CC5549"/>
    <w:rsid w:val="28DB49C0"/>
    <w:rsid w:val="29752839"/>
    <w:rsid w:val="29EB53B1"/>
    <w:rsid w:val="2AF13271"/>
    <w:rsid w:val="2B7B5D32"/>
    <w:rsid w:val="2BE05F64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6A7D67"/>
    <w:rsid w:val="2E982B26"/>
    <w:rsid w:val="2F762E67"/>
    <w:rsid w:val="2F864FA4"/>
    <w:rsid w:val="2FBB6ACC"/>
    <w:rsid w:val="2FD22B15"/>
    <w:rsid w:val="30325F36"/>
    <w:rsid w:val="30B8300C"/>
    <w:rsid w:val="317B7E30"/>
    <w:rsid w:val="31975317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827529E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255ECD"/>
    <w:rsid w:val="3D7604D6"/>
    <w:rsid w:val="3DAE6C4C"/>
    <w:rsid w:val="415113BD"/>
    <w:rsid w:val="41526B64"/>
    <w:rsid w:val="428240EF"/>
    <w:rsid w:val="43313794"/>
    <w:rsid w:val="43B34232"/>
    <w:rsid w:val="43D81D74"/>
    <w:rsid w:val="44497954"/>
    <w:rsid w:val="44531571"/>
    <w:rsid w:val="44BA6EFA"/>
    <w:rsid w:val="45AA011D"/>
    <w:rsid w:val="45C40B15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4E6A63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027CD4"/>
    <w:rsid w:val="4F675ED1"/>
    <w:rsid w:val="4FB923D4"/>
    <w:rsid w:val="514A57CD"/>
    <w:rsid w:val="51BD627C"/>
    <w:rsid w:val="51D501DA"/>
    <w:rsid w:val="52940405"/>
    <w:rsid w:val="52CA50F4"/>
    <w:rsid w:val="53016EFE"/>
    <w:rsid w:val="533A7498"/>
    <w:rsid w:val="533B7DA0"/>
    <w:rsid w:val="535B5D4C"/>
    <w:rsid w:val="540C5299"/>
    <w:rsid w:val="5689497F"/>
    <w:rsid w:val="572B3ADE"/>
    <w:rsid w:val="574D1E50"/>
    <w:rsid w:val="57653987"/>
    <w:rsid w:val="57A80A84"/>
    <w:rsid w:val="5915699E"/>
    <w:rsid w:val="59183927"/>
    <w:rsid w:val="59771406"/>
    <w:rsid w:val="5B894874"/>
    <w:rsid w:val="5BD85FFE"/>
    <w:rsid w:val="5D37614A"/>
    <w:rsid w:val="5E1F278A"/>
    <w:rsid w:val="5E2A2EEB"/>
    <w:rsid w:val="5E2F6887"/>
    <w:rsid w:val="5E7D74BF"/>
    <w:rsid w:val="5FBE1B3D"/>
    <w:rsid w:val="5FFF727B"/>
    <w:rsid w:val="60824919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6996E60"/>
    <w:rsid w:val="6853425E"/>
    <w:rsid w:val="698C6808"/>
    <w:rsid w:val="6A132A85"/>
    <w:rsid w:val="6A7D49EA"/>
    <w:rsid w:val="6A9D0379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1897624"/>
    <w:rsid w:val="72CB65F3"/>
    <w:rsid w:val="73964DA9"/>
    <w:rsid w:val="7399224D"/>
    <w:rsid w:val="745A5E80"/>
    <w:rsid w:val="746D3645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162B61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unhideWhenUsed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autoRedefine/>
    <w:qFormat/>
    <w:uiPriority w:val="0"/>
    <w:pPr>
      <w:ind w:firstLine="567"/>
    </w:pPr>
    <w:rPr>
      <w:rFonts w:ascii="Calibri" w:hAnsi="Calibri"/>
      <w:szCs w:val="21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5">
    <w:name w:val="Hyperlink"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16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customStyle="1" w:styleId="17">
    <w:name w:val="Body Text First Indent1"/>
    <w:basedOn w:val="4"/>
    <w:qFormat/>
    <w:uiPriority w:val="0"/>
    <w:pPr>
      <w:ind w:firstLine="420" w:firstLineChars="100"/>
    </w:pPr>
    <w:rPr>
      <w:rFonts w:eastAsia="宋体"/>
    </w:rPr>
  </w:style>
  <w:style w:type="paragraph" w:customStyle="1" w:styleId="18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9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规划正文"/>
    <w:qFormat/>
    <w:uiPriority w:val="0"/>
    <w:pPr>
      <w:widowControl w:val="0"/>
      <w:autoSpaceDE/>
      <w:spacing w:line="240" w:lineRule="auto"/>
      <w:ind w:firstLine="560"/>
      <w:jc w:val="both"/>
    </w:pPr>
    <w:rPr>
      <w:rFonts w:ascii="Calibri" w:hAnsi="仿宋_GB2312" w:eastAsia="宋体" w:cs="仿宋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3630</Words>
  <Characters>3696</Characters>
  <Lines>22</Lines>
  <Paragraphs>6</Paragraphs>
  <TotalTime>1</TotalTime>
  <ScaleCrop>false</ScaleCrop>
  <LinksUpToDate>false</LinksUpToDate>
  <CharactersWithSpaces>3879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黄良孟</cp:lastModifiedBy>
  <cp:lastPrinted>2022-08-14T07:48:00Z</cp:lastPrinted>
  <dcterms:modified xsi:type="dcterms:W3CDTF">2024-07-02T08:20:16Z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9198D5D54F8C4A8A9E6B339689148FB9</vt:lpwstr>
  </property>
</Properties>
</file>